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黑体" w:hAnsi="黑体" w:eastAsia="黑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附件5：</w:t>
      </w:r>
    </w:p>
    <w:p>
      <w:pPr>
        <w:widowControl/>
        <w:shd w:val="clear" w:color="auto" w:fill="FFFFFF"/>
        <w:spacing w:line="378" w:lineRule="atLeast"/>
        <w:ind w:firstLine="723" w:firstLineChars="200"/>
        <w:rPr>
          <w:rStyle w:val="5"/>
          <w:rFonts w:hint="eastAsia" w:ascii="仿宋" w:hAnsi="仿宋" w:eastAsia="仿宋" w:cs="仿宋"/>
          <w:b/>
          <w:bCs w:val="0"/>
          <w:sz w:val="36"/>
          <w:szCs w:val="36"/>
          <w:shd w:val="clear" w:color="auto" w:fill="FFFFFF"/>
          <w:lang w:bidi="ar-SA"/>
        </w:rPr>
      </w:pPr>
      <w:r>
        <w:rPr>
          <w:rStyle w:val="5"/>
          <w:rFonts w:hint="eastAsia" w:ascii="仿宋" w:hAnsi="仿宋" w:eastAsia="仿宋" w:cs="仿宋"/>
          <w:b/>
          <w:bCs w:val="0"/>
          <w:sz w:val="36"/>
          <w:szCs w:val="36"/>
          <w:shd w:val="clear" w:color="auto" w:fill="FFFFFF"/>
          <w:lang w:bidi="ar-SA"/>
        </w:rPr>
        <w:t>黑龙江省建筑业</w:t>
      </w:r>
      <w:r>
        <w:rPr>
          <w:rStyle w:val="5"/>
          <w:rFonts w:hint="eastAsia" w:ascii="仿宋" w:hAnsi="仿宋" w:eastAsia="仿宋" w:cs="仿宋"/>
          <w:b/>
          <w:bCs w:val="0"/>
          <w:sz w:val="36"/>
          <w:szCs w:val="36"/>
          <w:shd w:val="clear" w:color="auto" w:fill="FFFFFF"/>
          <w:lang w:val="en-US" w:eastAsia="zh-CN" w:bidi="ar-SA"/>
        </w:rPr>
        <w:t>劳务资质</w:t>
      </w:r>
      <w:r>
        <w:rPr>
          <w:rStyle w:val="5"/>
          <w:rFonts w:hint="eastAsia" w:ascii="仿宋" w:hAnsi="仿宋" w:eastAsia="仿宋" w:cs="仿宋"/>
          <w:b/>
          <w:bCs w:val="0"/>
          <w:sz w:val="36"/>
          <w:szCs w:val="36"/>
          <w:shd w:val="clear" w:color="auto" w:fill="FFFFFF"/>
          <w:lang w:bidi="ar-SA"/>
        </w:rPr>
        <w:t>企业信用评价标准</w:t>
      </w:r>
    </w:p>
    <w:p>
      <w:pPr>
        <w:widowControl/>
        <w:shd w:val="clear" w:color="auto" w:fill="FFFFFF"/>
        <w:spacing w:line="378" w:lineRule="atLeast"/>
        <w:ind w:firstLine="723" w:firstLineChars="200"/>
        <w:rPr>
          <w:rStyle w:val="5"/>
          <w:rFonts w:hint="eastAsia" w:ascii="仿宋" w:hAnsi="仿宋" w:eastAsia="仿宋" w:cs="仿宋"/>
          <w:b/>
          <w:bCs w:val="0"/>
          <w:sz w:val="36"/>
          <w:szCs w:val="36"/>
          <w:shd w:val="clear" w:color="auto" w:fill="FFFFFF"/>
          <w:lang w:bidi="ar-SA"/>
        </w:rPr>
      </w:pPr>
    </w:p>
    <w:tbl>
      <w:tblPr>
        <w:tblStyle w:val="3"/>
        <w:tblW w:w="923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871"/>
        <w:gridCol w:w="6365"/>
        <w:gridCol w:w="8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2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评      价      内      容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tblCellSpacing w:w="0" w:type="dxa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  <w:t>一票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  <w:t>否决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72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  <w:t>利用虚假材料、以欺骗手段取得企业资质的；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  <w:t>经法院判决或仲裁机构裁决，认定为</w:t>
            </w:r>
            <w:r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  <w:instrText xml:space="preserve"> HYPERLINK "https://baike.sogou.com/v5922668.htm" \t "_blank" </w:instrText>
            </w:r>
            <w:r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  <w:t>拖欠农民工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工资</w:t>
            </w:r>
            <w:r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  <w:t>,且拒不履行生效法律文书确定的义务的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  <w:jc w:val="center"/>
        </w:trPr>
        <w:tc>
          <w:tcPr>
            <w:tcW w:w="11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  <w:t>企业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  <w:t>基本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  <w:t>素质</w:t>
            </w:r>
          </w:p>
        </w:tc>
        <w:tc>
          <w:tcPr>
            <w:tcW w:w="87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  <w:t>总分值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营业执照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5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资质证书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5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管理、技术人员专业结构配置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tblCellSpacing w:w="0" w:type="dxa"/>
          <w:jc w:val="center"/>
        </w:trPr>
        <w:tc>
          <w:tcPr>
            <w:tcW w:w="11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经营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总分值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仿宋_GB2312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注册资金1000万元（含）以上加10分，500万（含）至1000万元加6分；100万（含）至500万加4，50万（含）以下加2分。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10，6，4，2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tblCellSpacing w:w="0" w:type="dxa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5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本年度承揽工程合同额  500万（含）以上加20分， 100万（含）至500万以上加10分， 50万（含）以下加5分。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20，10，5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  <w:jc w:val="center"/>
        </w:trPr>
        <w:tc>
          <w:tcPr>
            <w:tcW w:w="11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履约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能力</w:t>
            </w:r>
          </w:p>
        </w:tc>
        <w:tc>
          <w:tcPr>
            <w:tcW w:w="8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总分值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分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施工总承包企业对劳务资质企业评价：评价优秀加10分，良好加6分，合格加4分。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10，6，4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tblCellSpacing w:w="0" w:type="dxa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5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劳务工资及时足额发放。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kern w:val="0"/>
          <w:sz w:val="18"/>
          <w:szCs w:val="18"/>
        </w:rPr>
      </w:pPr>
      <w:r>
        <w:rPr>
          <w:rFonts w:ascii="黑体" w:hAnsi="黑体" w:eastAsia="黑体" w:cs="黑体"/>
          <w:b/>
          <w:bCs/>
          <w:color w:val="000000"/>
          <w:kern w:val="0"/>
          <w:sz w:val="18"/>
          <w:szCs w:val="18"/>
        </w:rPr>
        <w:t>注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18"/>
          <w:szCs w:val="18"/>
        </w:rPr>
        <w:t>：</w:t>
      </w:r>
      <w:r>
        <w:rPr>
          <w:rFonts w:ascii="黑体" w:hAnsi="黑体" w:eastAsia="黑体" w:cs="黑体"/>
          <w:color w:val="000000"/>
          <w:kern w:val="0"/>
          <w:sz w:val="18"/>
          <w:szCs w:val="18"/>
        </w:rPr>
        <w:t>每项取最高值</w:t>
      </w:r>
      <w:r>
        <w:rPr>
          <w:rFonts w:hint="eastAsia" w:ascii="黑体" w:hAnsi="黑体" w:eastAsia="黑体" w:cs="黑体"/>
          <w:color w:val="000000"/>
          <w:kern w:val="0"/>
          <w:sz w:val="18"/>
          <w:szCs w:val="18"/>
        </w:rPr>
        <w:t>，</w:t>
      </w:r>
      <w:r>
        <w:rPr>
          <w:rFonts w:ascii="黑体" w:hAnsi="黑体" w:eastAsia="黑体" w:cs="黑体"/>
          <w:color w:val="000000"/>
          <w:kern w:val="0"/>
          <w:sz w:val="18"/>
          <w:szCs w:val="18"/>
        </w:rPr>
        <w:t>不累</w:t>
      </w:r>
      <w:r>
        <w:rPr>
          <w:rFonts w:hint="eastAsia" w:ascii="黑体" w:hAnsi="黑体" w:eastAsia="黑体" w:cs="黑体"/>
          <w:color w:val="000000"/>
          <w:kern w:val="0"/>
          <w:sz w:val="18"/>
          <w:szCs w:val="18"/>
        </w:rPr>
        <w:t>计</w:t>
      </w:r>
      <w:r>
        <w:rPr>
          <w:rFonts w:hint="eastAsia" w:ascii="黑体" w:hAnsi="黑体" w:eastAsia="黑体" w:cs="黑体"/>
          <w:color w:val="000000"/>
          <w:kern w:val="0"/>
          <w:sz w:val="18"/>
          <w:szCs w:val="18"/>
          <w:lang w:eastAsia="zh-CN"/>
        </w:rPr>
        <w:t>加</w:t>
      </w:r>
      <w:r>
        <w:rPr>
          <w:rFonts w:ascii="黑体" w:hAnsi="黑体" w:eastAsia="黑体" w:cs="黑体"/>
          <w:color w:val="000000"/>
          <w:kern w:val="0"/>
          <w:sz w:val="18"/>
          <w:szCs w:val="18"/>
        </w:rPr>
        <w:t>分</w:t>
      </w:r>
      <w:r>
        <w:rPr>
          <w:rFonts w:hint="eastAsia" w:ascii="黑体" w:hAnsi="黑体" w:eastAsia="黑体" w:cs="黑体"/>
          <w:color w:val="000000"/>
          <w:kern w:val="0"/>
          <w:sz w:val="18"/>
          <w:szCs w:val="18"/>
        </w:rPr>
        <w:t>。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</w:rPr>
    </w:pP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TljYmVmMWVlZDdmOGNmMjM0MWY1NjgxNzUwMDIifQ=="/>
  </w:docVars>
  <w:rsids>
    <w:rsidRoot w:val="4FAF2272"/>
    <w:rsid w:val="02807A5E"/>
    <w:rsid w:val="265E7C4E"/>
    <w:rsid w:val="267A224B"/>
    <w:rsid w:val="3FDB54E4"/>
    <w:rsid w:val="4B472EF9"/>
    <w:rsid w:val="4E4D2FAC"/>
    <w:rsid w:val="4FAF2272"/>
    <w:rsid w:val="59083EC3"/>
    <w:rsid w:val="5BBC18BC"/>
    <w:rsid w:val="5D607003"/>
    <w:rsid w:val="66C83378"/>
    <w:rsid w:val="782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365</Characters>
  <Lines>0</Lines>
  <Paragraphs>0</Paragraphs>
  <TotalTime>3</TotalTime>
  <ScaleCrop>false</ScaleCrop>
  <LinksUpToDate>false</LinksUpToDate>
  <CharactersWithSpaces>387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2022-05-24T00:38:00Z</dcterms:created>
  <dc:creator>陌然浅笑</dc:creator>
  <cp:lastModifiedBy>陌然浅笑</cp:lastModifiedBy>
  <cp:lastPrinted>2022-05-24T01:12:00Z</cp:lastPrinted>
  <dcterms:modified xsi:type="dcterms:W3CDTF">2023-04-11T01:03:42Z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F6B0D46CE9524331BF489A3BCCF032C2</vt:lpwstr>
  </property>
</Properties>
</file>