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9AEBC1">
      <w:pPr>
        <w:spacing w:after="312" w:afterLines="100" w:line="360" w:lineRule="auto"/>
        <w:rPr>
          <w:rFonts w:hint="eastAsia" w:ascii="黑体" w:hAnsi="黑体" w:eastAsia="黑体" w:cs="黑体"/>
          <w:b/>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14:paraId="15509828">
      <w:pPr>
        <w:jc w:val="center"/>
        <w:rPr>
          <w:rFonts w:hint="eastAsia" w:ascii="微软雅黑" w:hAnsi="微软雅黑" w:eastAsia="微软雅黑" w:cs="微软雅黑"/>
          <w:b w:val="0"/>
          <w:bCs w:val="0"/>
          <w:color w:val="000000"/>
          <w:spacing w:val="20"/>
          <w:sz w:val="44"/>
          <w:szCs w:val="44"/>
        </w:rPr>
      </w:pPr>
      <w:r>
        <w:rPr>
          <w:rFonts w:hint="eastAsia" w:ascii="微软雅黑" w:hAnsi="微软雅黑" w:eastAsia="微软雅黑" w:cs="微软雅黑"/>
          <w:b w:val="0"/>
          <w:bCs w:val="0"/>
          <w:color w:val="000000"/>
          <w:spacing w:val="20"/>
          <w:sz w:val="44"/>
          <w:szCs w:val="44"/>
        </w:rPr>
        <w:t>黑龙江省优质工程（龙江杯）</w:t>
      </w:r>
      <w:r>
        <w:rPr>
          <w:rFonts w:hint="eastAsia" w:ascii="微软雅黑" w:hAnsi="微软雅黑" w:eastAsia="微软雅黑" w:cs="微软雅黑"/>
          <w:b w:val="0"/>
          <w:bCs w:val="0"/>
          <w:color w:val="000000"/>
          <w:spacing w:val="20"/>
          <w:sz w:val="44"/>
          <w:szCs w:val="44"/>
          <w:lang w:val="en-US" w:eastAsia="zh-CN"/>
        </w:rPr>
        <w:t>评价</w:t>
      </w:r>
    </w:p>
    <w:p w14:paraId="50C9C291">
      <w:pPr>
        <w:jc w:val="center"/>
        <w:rPr>
          <w:rFonts w:hint="eastAsia" w:ascii="微软雅黑" w:hAnsi="微软雅黑" w:eastAsia="微软雅黑" w:cs="微软雅黑"/>
          <w:b w:val="0"/>
          <w:bCs w:val="0"/>
          <w:color w:val="000000"/>
          <w:spacing w:val="20"/>
          <w:sz w:val="44"/>
          <w:szCs w:val="44"/>
          <w:lang w:val="en-US" w:eastAsia="zh-CN"/>
        </w:rPr>
      </w:pPr>
      <w:r>
        <w:rPr>
          <w:rFonts w:hint="eastAsia" w:ascii="微软雅黑" w:hAnsi="微软雅黑" w:eastAsia="微软雅黑" w:cs="微软雅黑"/>
          <w:b w:val="0"/>
          <w:bCs w:val="0"/>
          <w:color w:val="000000"/>
          <w:spacing w:val="20"/>
          <w:sz w:val="44"/>
          <w:szCs w:val="44"/>
          <w:lang w:val="en-US" w:eastAsia="zh-CN"/>
        </w:rPr>
        <w:t>管理办法</w:t>
      </w:r>
    </w:p>
    <w:p w14:paraId="417284CC">
      <w:pPr>
        <w:jc w:val="center"/>
        <w:rPr>
          <w:rFonts w:hint="eastAsia" w:ascii="微软雅黑" w:hAnsi="微软雅黑" w:eastAsia="微软雅黑" w:cs="微软雅黑"/>
          <w:b w:val="0"/>
          <w:bCs w:val="0"/>
          <w:color w:val="000000"/>
          <w:spacing w:val="20"/>
          <w:sz w:val="32"/>
          <w:szCs w:val="32"/>
          <w:lang w:val="en-US" w:eastAsia="zh-CN"/>
        </w:rPr>
      </w:pPr>
    </w:p>
    <w:p w14:paraId="5EC2B1C0">
      <w:pPr>
        <w:spacing w:line="600" w:lineRule="exact"/>
        <w:jc w:val="center"/>
        <w:rPr>
          <w:rFonts w:hint="eastAsia" w:ascii="仿宋_GB2312" w:eastAsia="仿宋_GB2312"/>
          <w:b/>
          <w:bCs/>
          <w:sz w:val="32"/>
          <w:szCs w:val="32"/>
        </w:rPr>
      </w:pPr>
      <w:r>
        <w:rPr>
          <w:rFonts w:hint="eastAsia" w:ascii="仿宋_GB2312" w:eastAsia="仿宋_GB2312"/>
          <w:b/>
          <w:bCs/>
          <w:sz w:val="32"/>
          <w:szCs w:val="32"/>
        </w:rPr>
        <w:t>第一章  总则</w:t>
      </w:r>
    </w:p>
    <w:p w14:paraId="009B63D3">
      <w:pPr>
        <w:spacing w:line="580" w:lineRule="exact"/>
        <w:ind w:firstLine="645"/>
        <w:rPr>
          <w:rFonts w:hint="eastAsia" w:ascii="仿宋_GB2312" w:eastAsia="仿宋_GB2312"/>
          <w:b w:val="0"/>
          <w:bCs w:val="0"/>
          <w:color w:val="auto"/>
          <w:sz w:val="32"/>
          <w:szCs w:val="32"/>
        </w:rPr>
      </w:pPr>
      <w:r>
        <w:rPr>
          <w:rFonts w:hint="eastAsia" w:ascii="仿宋_GB2312" w:eastAsia="仿宋_GB2312"/>
          <w:b/>
          <w:bCs/>
          <w:sz w:val="32"/>
          <w:szCs w:val="32"/>
        </w:rPr>
        <w:t>第一条</w:t>
      </w:r>
      <w:r>
        <w:rPr>
          <w:rFonts w:hint="eastAsia" w:ascii="仿宋_GB2312" w:eastAsia="仿宋_GB2312"/>
          <w:sz w:val="32"/>
          <w:szCs w:val="32"/>
        </w:rPr>
        <w:t xml:space="preserve">  为响应“质量强省”战略，弘扬工匠精神，提高企业核心竞争力，激励施工企业加强质量管理，推进我省工程建设行业高质量和可持续发展，</w:t>
      </w:r>
      <w:r>
        <w:rPr>
          <w:rFonts w:hint="eastAsia" w:ascii="仿宋_GB2312" w:eastAsia="仿宋_GB2312"/>
          <w:b w:val="0"/>
          <w:bCs w:val="0"/>
          <w:color w:val="auto"/>
          <w:sz w:val="32"/>
          <w:szCs w:val="32"/>
          <w:lang w:val="en-US" w:eastAsia="zh-CN"/>
        </w:rPr>
        <w:t>规范黑龙江省优质工程（龙江杯）评价工作，结合本省实际，</w:t>
      </w:r>
      <w:r>
        <w:rPr>
          <w:rFonts w:hint="eastAsia" w:ascii="仿宋_GB2312" w:eastAsia="仿宋_GB2312"/>
          <w:b w:val="0"/>
          <w:bCs w:val="0"/>
          <w:color w:val="auto"/>
          <w:sz w:val="32"/>
          <w:szCs w:val="32"/>
        </w:rPr>
        <w:t>制定本办法。</w:t>
      </w:r>
    </w:p>
    <w:p w14:paraId="5E44EFD4">
      <w:pPr>
        <w:spacing w:line="580" w:lineRule="exact"/>
        <w:ind w:firstLine="645"/>
        <w:rPr>
          <w:rFonts w:hint="eastAsia" w:ascii="仿宋_GB2312" w:eastAsia="仿宋_GB2312"/>
          <w:color w:val="auto"/>
          <w:sz w:val="32"/>
          <w:szCs w:val="32"/>
          <w:highlight w:val="none"/>
          <w:lang w:val="en-US" w:eastAsia="zh-CN"/>
        </w:rPr>
      </w:pPr>
      <w:r>
        <w:rPr>
          <w:rFonts w:hint="eastAsia" w:ascii="仿宋_GB2312" w:eastAsia="仿宋_GB2312"/>
          <w:b/>
          <w:bCs/>
          <w:color w:val="auto"/>
          <w:sz w:val="32"/>
          <w:szCs w:val="32"/>
          <w:highlight w:val="none"/>
          <w:lang w:val="en-US" w:eastAsia="zh-CN"/>
        </w:rPr>
        <w:t>第二条</w:t>
      </w:r>
      <w:r>
        <w:rPr>
          <w:rFonts w:hint="eastAsia" w:ascii="仿宋_GB2312" w:eastAsia="仿宋_GB2312"/>
          <w:b w:val="0"/>
          <w:bCs w:val="0"/>
          <w:color w:val="auto"/>
          <w:sz w:val="32"/>
          <w:szCs w:val="32"/>
          <w:highlight w:val="none"/>
          <w:lang w:val="en-US" w:eastAsia="zh-CN"/>
        </w:rPr>
        <w:t xml:space="preserve">  </w:t>
      </w:r>
      <w:r>
        <w:rPr>
          <w:rFonts w:hint="eastAsia" w:ascii="仿宋_GB2312" w:eastAsia="仿宋_GB2312"/>
          <w:color w:val="auto"/>
          <w:sz w:val="32"/>
          <w:szCs w:val="32"/>
          <w:highlight w:val="none"/>
          <w:lang w:val="en-US" w:eastAsia="zh-CN"/>
        </w:rPr>
        <w:t>黑龙江省优质工程（龙江杯）（以下简称“龙江杯”）的评价工作，是在黑龙江省住建厅的指导下，由</w:t>
      </w:r>
      <w:r>
        <w:rPr>
          <w:rFonts w:hint="eastAsia" w:ascii="仿宋_GB2312" w:eastAsia="仿宋_GB2312"/>
          <w:color w:val="auto"/>
          <w:sz w:val="32"/>
          <w:szCs w:val="32"/>
          <w:highlight w:val="none"/>
        </w:rPr>
        <w:t>黑龙江省建筑业协会</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以下简称省建协</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lang w:val="en-US" w:eastAsia="zh-CN"/>
        </w:rPr>
        <w:t>负责具体</w:t>
      </w:r>
      <w:r>
        <w:rPr>
          <w:rFonts w:hint="eastAsia" w:ascii="仿宋_GB2312" w:eastAsia="仿宋_GB2312"/>
          <w:color w:val="auto"/>
          <w:sz w:val="32"/>
          <w:szCs w:val="32"/>
          <w:highlight w:val="none"/>
        </w:rPr>
        <w:t>组织</w:t>
      </w:r>
      <w:r>
        <w:rPr>
          <w:rFonts w:hint="eastAsia" w:ascii="仿宋_GB2312" w:eastAsia="仿宋_GB2312"/>
          <w:color w:val="auto"/>
          <w:sz w:val="32"/>
          <w:szCs w:val="32"/>
          <w:highlight w:val="none"/>
          <w:lang w:eastAsia="zh-CN"/>
        </w:rPr>
        <w:t>实施</w:t>
      </w:r>
      <w:r>
        <w:rPr>
          <w:rFonts w:hint="eastAsia" w:ascii="仿宋_GB2312" w:eastAsia="仿宋_GB2312"/>
          <w:color w:val="auto"/>
          <w:sz w:val="32"/>
          <w:szCs w:val="32"/>
          <w:highlight w:val="none"/>
          <w:lang w:val="en-US" w:eastAsia="zh-CN"/>
        </w:rPr>
        <w:t>。</w:t>
      </w:r>
    </w:p>
    <w:p w14:paraId="270445E3">
      <w:pPr>
        <w:spacing w:line="580" w:lineRule="exact"/>
        <w:ind w:firstLine="645"/>
        <w:rPr>
          <w:rFonts w:hint="eastAsia" w:ascii="仿宋_GB2312" w:eastAsia="仿宋_GB2312"/>
          <w:color w:val="auto"/>
          <w:sz w:val="32"/>
          <w:szCs w:val="32"/>
          <w:lang w:val="en-US" w:eastAsia="zh-CN"/>
        </w:rPr>
      </w:pPr>
      <w:r>
        <w:rPr>
          <w:rFonts w:hint="eastAsia" w:ascii="仿宋_GB2312" w:eastAsia="仿宋_GB2312"/>
          <w:b/>
          <w:bCs/>
          <w:color w:val="auto"/>
          <w:sz w:val="32"/>
          <w:szCs w:val="32"/>
        </w:rPr>
        <w:t>第</w:t>
      </w:r>
      <w:r>
        <w:rPr>
          <w:rFonts w:hint="eastAsia" w:ascii="仿宋_GB2312" w:eastAsia="仿宋_GB2312"/>
          <w:b/>
          <w:bCs/>
          <w:color w:val="auto"/>
          <w:sz w:val="32"/>
          <w:szCs w:val="32"/>
          <w:lang w:val="en-US" w:eastAsia="zh-CN"/>
        </w:rPr>
        <w:t>三</w:t>
      </w:r>
      <w:r>
        <w:rPr>
          <w:rFonts w:hint="eastAsia" w:ascii="仿宋_GB2312" w:eastAsia="仿宋_GB2312"/>
          <w:b/>
          <w:bCs/>
          <w:color w:val="auto"/>
          <w:sz w:val="32"/>
          <w:szCs w:val="32"/>
        </w:rPr>
        <w:t>条</w:t>
      </w:r>
      <w:r>
        <w:rPr>
          <w:rFonts w:hint="eastAsia" w:ascii="仿宋_GB2312" w:eastAsia="仿宋_GB2312"/>
          <w:color w:val="auto"/>
          <w:sz w:val="32"/>
          <w:szCs w:val="32"/>
        </w:rPr>
        <w:t xml:space="preserve"> </w:t>
      </w:r>
      <w:r>
        <w:rPr>
          <w:rFonts w:hint="eastAsia" w:ascii="仿宋_GB2312" w:eastAsia="仿宋_GB2312"/>
          <w:color w:val="auto"/>
          <w:sz w:val="32"/>
          <w:szCs w:val="32"/>
          <w:lang w:val="en-US" w:eastAsia="zh-CN"/>
        </w:rPr>
        <w:t xml:space="preserve"> “龙江杯”评价工作坚持公平、公正、公开的</w:t>
      </w:r>
      <w:r>
        <w:rPr>
          <w:rFonts w:hint="eastAsia" w:ascii="仿宋_GB2312" w:eastAsia="仿宋_GB2312"/>
          <w:sz w:val="32"/>
          <w:szCs w:val="32"/>
          <w:lang w:val="en-US" w:eastAsia="zh-CN"/>
        </w:rPr>
        <w:t>原则，做到程序化运行、规范化操作、标准化管理，并接受社会</w:t>
      </w:r>
      <w:r>
        <w:rPr>
          <w:rFonts w:hint="eastAsia" w:ascii="仿宋_GB2312" w:eastAsia="仿宋_GB2312"/>
          <w:color w:val="auto"/>
          <w:sz w:val="32"/>
          <w:szCs w:val="32"/>
          <w:lang w:val="en-US" w:eastAsia="zh-CN"/>
        </w:rPr>
        <w:t>监督，目的是宣传和表彰设计优、质量精、管理佳、效益好、技术先进、绿色、节能、环保的工程项目。</w:t>
      </w:r>
    </w:p>
    <w:p w14:paraId="146405A8">
      <w:pPr>
        <w:spacing w:line="580" w:lineRule="exact"/>
        <w:ind w:firstLine="645"/>
        <w:rPr>
          <w:rFonts w:hint="eastAsia" w:ascii="仿宋_GB2312" w:eastAsia="仿宋_GB2312"/>
          <w:color w:val="auto"/>
          <w:sz w:val="32"/>
          <w:szCs w:val="32"/>
          <w:lang w:val="en-US" w:eastAsia="zh-CN"/>
        </w:rPr>
      </w:pPr>
      <w:r>
        <w:rPr>
          <w:rFonts w:hint="eastAsia" w:ascii="仿宋_GB2312" w:eastAsia="仿宋_GB2312"/>
          <w:b/>
          <w:bCs/>
          <w:color w:val="auto"/>
          <w:sz w:val="32"/>
          <w:szCs w:val="32"/>
        </w:rPr>
        <w:t>第</w:t>
      </w:r>
      <w:r>
        <w:rPr>
          <w:rFonts w:hint="eastAsia" w:ascii="仿宋_GB2312" w:eastAsia="仿宋_GB2312"/>
          <w:b/>
          <w:bCs/>
          <w:color w:val="auto"/>
          <w:sz w:val="32"/>
          <w:szCs w:val="32"/>
          <w:lang w:val="en-US" w:eastAsia="zh-CN"/>
        </w:rPr>
        <w:t>四</w:t>
      </w:r>
      <w:r>
        <w:rPr>
          <w:rFonts w:hint="eastAsia" w:ascii="仿宋_GB2312" w:eastAsia="仿宋_GB2312"/>
          <w:b/>
          <w:bCs/>
          <w:color w:val="auto"/>
          <w:sz w:val="32"/>
          <w:szCs w:val="32"/>
        </w:rPr>
        <w:t xml:space="preserve">条 </w:t>
      </w:r>
      <w:r>
        <w:rPr>
          <w:rFonts w:hint="eastAsia" w:ascii="仿宋_GB2312" w:eastAsia="仿宋_GB2312"/>
          <w:b/>
          <w:bCs/>
          <w:color w:val="auto"/>
          <w:sz w:val="32"/>
          <w:szCs w:val="32"/>
          <w:lang w:val="en-US" w:eastAsia="zh-CN"/>
        </w:rPr>
        <w:t xml:space="preserve"> </w:t>
      </w:r>
      <w:r>
        <w:rPr>
          <w:rFonts w:hint="eastAsia" w:ascii="仿宋_GB2312" w:eastAsia="仿宋_GB2312"/>
          <w:color w:val="auto"/>
          <w:sz w:val="32"/>
          <w:szCs w:val="32"/>
          <w:lang w:val="en-US" w:eastAsia="zh-CN"/>
        </w:rPr>
        <w:t>“龙江杯”评价项目实行指标控制，每年评价总数原则上控制在50项左右。</w:t>
      </w:r>
    </w:p>
    <w:p w14:paraId="47669D47">
      <w:pPr>
        <w:spacing w:line="600" w:lineRule="exact"/>
        <w:jc w:val="center"/>
        <w:rPr>
          <w:rFonts w:hint="eastAsia" w:ascii="仿宋_GB2312" w:hAnsi="Calibri" w:eastAsia="仿宋_GB2312" w:cs="Times New Roman"/>
          <w:b/>
          <w:bCs/>
          <w:sz w:val="32"/>
          <w:szCs w:val="32"/>
        </w:rPr>
      </w:pPr>
      <w:r>
        <w:rPr>
          <w:rFonts w:hint="eastAsia" w:ascii="仿宋_GB2312" w:eastAsia="仿宋_GB2312"/>
          <w:b/>
          <w:bCs/>
          <w:sz w:val="32"/>
          <w:szCs w:val="32"/>
        </w:rPr>
        <w:t xml:space="preserve">第二章  </w:t>
      </w:r>
      <w:r>
        <w:rPr>
          <w:rFonts w:hint="eastAsia" w:ascii="仿宋_GB2312" w:eastAsia="仿宋_GB2312"/>
          <w:b/>
          <w:bCs/>
          <w:sz w:val="32"/>
          <w:szCs w:val="32"/>
          <w:lang w:val="en-US" w:eastAsia="zh-CN"/>
        </w:rPr>
        <w:t>评价</w:t>
      </w:r>
      <w:r>
        <w:rPr>
          <w:rFonts w:hint="eastAsia" w:ascii="仿宋_GB2312" w:hAnsi="Calibri" w:eastAsia="仿宋_GB2312" w:cs="Times New Roman"/>
          <w:b/>
          <w:bCs/>
          <w:sz w:val="32"/>
          <w:szCs w:val="32"/>
        </w:rPr>
        <w:t>范围</w:t>
      </w:r>
    </w:p>
    <w:p w14:paraId="27B26B49">
      <w:pPr>
        <w:spacing w:line="580" w:lineRule="exact"/>
        <w:ind w:firstLine="645"/>
        <w:rPr>
          <w:rFonts w:hint="eastAsia" w:ascii="仿宋_GB2312" w:eastAsia="仿宋_GB2312"/>
          <w:sz w:val="32"/>
          <w:szCs w:val="32"/>
          <w:lang w:val="en-US" w:eastAsia="zh-CN"/>
        </w:rPr>
      </w:pPr>
      <w:r>
        <w:rPr>
          <w:rFonts w:hint="eastAsia" w:ascii="仿宋_GB2312" w:eastAsia="仿宋_GB2312"/>
          <w:b/>
          <w:bCs/>
          <w:sz w:val="32"/>
          <w:szCs w:val="32"/>
          <w:highlight w:val="none"/>
        </w:rPr>
        <w:t>第</w:t>
      </w:r>
      <w:r>
        <w:rPr>
          <w:rFonts w:hint="eastAsia" w:ascii="仿宋_GB2312" w:eastAsia="仿宋_GB2312"/>
          <w:b/>
          <w:bCs/>
          <w:sz w:val="32"/>
          <w:szCs w:val="32"/>
          <w:highlight w:val="none"/>
          <w:lang w:val="en-US" w:eastAsia="zh-CN"/>
        </w:rPr>
        <w:t>五</w:t>
      </w:r>
      <w:r>
        <w:rPr>
          <w:rFonts w:hint="eastAsia" w:ascii="仿宋_GB2312" w:eastAsia="仿宋_GB2312"/>
          <w:b/>
          <w:bCs/>
          <w:sz w:val="32"/>
          <w:szCs w:val="32"/>
          <w:highlight w:val="none"/>
        </w:rPr>
        <w:t>条</w:t>
      </w:r>
      <w:r>
        <w:rPr>
          <w:rFonts w:hint="eastAsia" w:ascii="仿宋_GB2312" w:eastAsia="仿宋_GB2312"/>
          <w:sz w:val="32"/>
          <w:szCs w:val="32"/>
          <w:highlight w:val="none"/>
        </w:rPr>
        <w:t xml:space="preserve">  </w:t>
      </w:r>
      <w:r>
        <w:rPr>
          <w:rFonts w:hint="eastAsia" w:ascii="仿宋_GB2312" w:eastAsia="仿宋_GB2312"/>
          <w:sz w:val="32"/>
          <w:szCs w:val="32"/>
          <w:lang w:val="en-US" w:eastAsia="zh-CN"/>
        </w:rPr>
        <w:t>参与“龙江杯”评价的项目应为已建成并投入使用的各类新建、改建、扩建工程。</w:t>
      </w:r>
    </w:p>
    <w:p w14:paraId="302F8669">
      <w:pPr>
        <w:spacing w:line="580" w:lineRule="exact"/>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黑龙江省施工企业承建的国内外工程和非本省施工企业在本省行政区域内承建的工程，符合申报条件的均可参与评价。</w:t>
      </w:r>
    </w:p>
    <w:p w14:paraId="6726F350">
      <w:pPr>
        <w:spacing w:line="580" w:lineRule="exact"/>
        <w:ind w:firstLine="645"/>
        <w:rPr>
          <w:rFonts w:hint="eastAsia" w:ascii="仿宋_GB2312" w:eastAsia="仿宋_GB2312"/>
          <w:color w:val="auto"/>
          <w:sz w:val="32"/>
          <w:szCs w:val="32"/>
          <w:lang w:val="en-US" w:eastAsia="zh-CN"/>
        </w:rPr>
      </w:pPr>
      <w:r>
        <w:rPr>
          <w:rFonts w:hint="eastAsia" w:ascii="仿宋_GB2312" w:eastAsia="仿宋_GB2312"/>
          <w:b/>
          <w:bCs/>
          <w:color w:val="auto"/>
          <w:sz w:val="32"/>
          <w:szCs w:val="32"/>
        </w:rPr>
        <w:t>第</w:t>
      </w:r>
      <w:r>
        <w:rPr>
          <w:rFonts w:hint="eastAsia" w:ascii="仿宋_GB2312" w:eastAsia="仿宋_GB2312"/>
          <w:b/>
          <w:bCs/>
          <w:color w:val="auto"/>
          <w:sz w:val="32"/>
          <w:szCs w:val="32"/>
          <w:lang w:val="en-US" w:eastAsia="zh-CN"/>
        </w:rPr>
        <w:t>六</w:t>
      </w:r>
      <w:r>
        <w:rPr>
          <w:rFonts w:hint="eastAsia" w:ascii="仿宋_GB2312" w:eastAsia="仿宋_GB2312"/>
          <w:b/>
          <w:bCs/>
          <w:color w:val="auto"/>
          <w:sz w:val="32"/>
          <w:szCs w:val="32"/>
        </w:rPr>
        <w:t>条</w:t>
      </w:r>
      <w:r>
        <w:rPr>
          <w:rFonts w:hint="eastAsia" w:ascii="仿宋_GB2312" w:eastAsia="仿宋_GB2312"/>
          <w:color w:val="auto"/>
          <w:sz w:val="32"/>
          <w:szCs w:val="32"/>
        </w:rPr>
        <w:t xml:space="preserve">  </w:t>
      </w:r>
      <w:r>
        <w:rPr>
          <w:rFonts w:hint="eastAsia" w:ascii="仿宋_GB2312" w:eastAsia="仿宋_GB2312"/>
          <w:color w:val="auto"/>
          <w:sz w:val="32"/>
          <w:szCs w:val="32"/>
          <w:lang w:val="en-US" w:eastAsia="zh-CN"/>
        </w:rPr>
        <w:t>“龙江杯”评价的工程类别分为：</w:t>
      </w:r>
    </w:p>
    <w:p w14:paraId="3F56EE60">
      <w:pPr>
        <w:spacing w:line="580" w:lineRule="exact"/>
        <w:ind w:firstLine="645"/>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（一）建筑工程；</w:t>
      </w:r>
    </w:p>
    <w:p w14:paraId="5811788C">
      <w:pPr>
        <w:spacing w:line="580" w:lineRule="exact"/>
        <w:ind w:firstLine="645"/>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（二）工业工程；</w:t>
      </w:r>
    </w:p>
    <w:p w14:paraId="112D00C8">
      <w:pPr>
        <w:spacing w:line="580" w:lineRule="exact"/>
        <w:ind w:firstLine="645"/>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（三）交通工程；</w:t>
      </w:r>
    </w:p>
    <w:p w14:paraId="2C30D825">
      <w:pPr>
        <w:spacing w:line="580" w:lineRule="exact"/>
        <w:ind w:firstLine="645"/>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（四）水利工程；</w:t>
      </w:r>
    </w:p>
    <w:p w14:paraId="7A58AEEC">
      <w:pPr>
        <w:spacing w:line="580" w:lineRule="exact"/>
        <w:ind w:firstLine="645"/>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（五）市政公用工程；</w:t>
      </w:r>
    </w:p>
    <w:p w14:paraId="55450C90">
      <w:pPr>
        <w:spacing w:line="580" w:lineRule="exact"/>
        <w:ind w:firstLine="645"/>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（六）装饰装修工程；</w:t>
      </w:r>
    </w:p>
    <w:p w14:paraId="5E09521B">
      <w:pPr>
        <w:spacing w:line="580" w:lineRule="exact"/>
        <w:ind w:firstLine="645"/>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（七）绿色生态工程。</w:t>
      </w:r>
    </w:p>
    <w:p w14:paraId="18A4550F">
      <w:pPr>
        <w:spacing w:line="580" w:lineRule="exact"/>
        <w:ind w:firstLine="645"/>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以上七类具体评价范围及规模要求详见附录1。</w:t>
      </w:r>
    </w:p>
    <w:p w14:paraId="4A7F3701">
      <w:pPr>
        <w:spacing w:line="580" w:lineRule="exact"/>
        <w:ind w:firstLine="645"/>
        <w:rPr>
          <w:rFonts w:hint="eastAsia" w:ascii="仿宋_GB2312" w:eastAsia="仿宋_GB2312"/>
          <w:sz w:val="32"/>
          <w:szCs w:val="32"/>
        </w:rPr>
      </w:pPr>
    </w:p>
    <w:p w14:paraId="74F7A7B7">
      <w:pPr>
        <w:spacing w:line="600" w:lineRule="exact"/>
        <w:jc w:val="center"/>
        <w:rPr>
          <w:rFonts w:hint="eastAsia" w:ascii="仿宋_GB2312" w:eastAsia="仿宋_GB2312"/>
          <w:b/>
          <w:bCs/>
          <w:sz w:val="32"/>
          <w:szCs w:val="32"/>
        </w:rPr>
      </w:pPr>
      <w:r>
        <w:rPr>
          <w:rFonts w:hint="eastAsia" w:ascii="仿宋_GB2312" w:eastAsia="仿宋_GB2312"/>
          <w:b/>
          <w:bCs/>
          <w:sz w:val="32"/>
          <w:szCs w:val="32"/>
        </w:rPr>
        <w:t>第三章  申报条件</w:t>
      </w:r>
    </w:p>
    <w:p w14:paraId="51C3EBEA">
      <w:pPr>
        <w:spacing w:line="580" w:lineRule="exact"/>
        <w:ind w:firstLine="645"/>
        <w:rPr>
          <w:rFonts w:hint="eastAsia" w:ascii="仿宋_GB2312" w:eastAsia="仿宋_GB2312"/>
          <w:sz w:val="32"/>
          <w:szCs w:val="32"/>
          <w:lang w:val="en-US" w:eastAsia="zh-CN"/>
        </w:rPr>
      </w:pPr>
      <w:r>
        <w:rPr>
          <w:rFonts w:hint="eastAsia" w:ascii="仿宋_GB2312" w:hAnsi="Times New Roman" w:eastAsia="仿宋_GB2312" w:cs="Times New Roman"/>
          <w:b/>
          <w:bCs/>
          <w:sz w:val="32"/>
          <w:szCs w:val="32"/>
          <w:lang w:val="en-US" w:eastAsia="zh-CN"/>
        </w:rPr>
        <w:t>第</w:t>
      </w:r>
      <w:r>
        <w:rPr>
          <w:rFonts w:hint="eastAsia" w:ascii="仿宋_GB2312" w:eastAsia="仿宋_GB2312" w:cs="Times New Roman"/>
          <w:b/>
          <w:bCs/>
          <w:sz w:val="32"/>
          <w:szCs w:val="32"/>
          <w:lang w:val="en-US" w:eastAsia="zh-CN"/>
        </w:rPr>
        <w:t>七</w:t>
      </w:r>
      <w:r>
        <w:rPr>
          <w:rFonts w:hint="eastAsia" w:ascii="仿宋_GB2312" w:hAnsi="Times New Roman" w:eastAsia="仿宋_GB2312" w:cs="Times New Roman"/>
          <w:b/>
          <w:bCs/>
          <w:sz w:val="32"/>
          <w:szCs w:val="32"/>
          <w:lang w:val="en-US" w:eastAsia="zh-CN"/>
        </w:rPr>
        <w:t>条</w:t>
      </w:r>
      <w:r>
        <w:rPr>
          <w:rFonts w:hint="eastAsia" w:ascii="仿宋_GB2312" w:hAnsi="Times New Roman" w:eastAsia="仿宋_GB2312" w:cs="Times New Roman"/>
          <w:sz w:val="32"/>
          <w:szCs w:val="32"/>
          <w:lang w:val="en-US" w:eastAsia="zh-CN"/>
        </w:rPr>
        <w:t xml:space="preserve">  </w:t>
      </w:r>
      <w:r>
        <w:rPr>
          <w:rFonts w:hint="eastAsia" w:ascii="仿宋_GB2312" w:eastAsia="仿宋_GB2312"/>
          <w:sz w:val="32"/>
          <w:szCs w:val="32"/>
          <w:lang w:val="en-US" w:eastAsia="zh-CN"/>
        </w:rPr>
        <w:t>申报“龙江杯”应具备以下条件：</w:t>
      </w:r>
    </w:p>
    <w:p w14:paraId="43E95CB5">
      <w:pPr>
        <w:spacing w:line="580" w:lineRule="exact"/>
        <w:ind w:firstLine="645"/>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（一）工程项目符合法定建设程序，执行现行国家、行业和地方有关标准，以及绿色、节能、环保等规定；                                        </w:t>
      </w:r>
    </w:p>
    <w:p w14:paraId="6931E497">
      <w:pPr>
        <w:spacing w:line="580" w:lineRule="exact"/>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（二）工程设计先进合理，符合国家和行业设计标准；</w:t>
      </w:r>
    </w:p>
    <w:p w14:paraId="3241A2CF">
      <w:pPr>
        <w:spacing w:line="580" w:lineRule="exact"/>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（三）创优目标明确，创优规划合理；</w:t>
      </w:r>
    </w:p>
    <w:p w14:paraId="0BF0D2E4">
      <w:pPr>
        <w:spacing w:line="580" w:lineRule="exact"/>
        <w:ind w:firstLine="645"/>
        <w:rPr>
          <w:rFonts w:hint="default" w:ascii="仿宋_GB2312" w:eastAsia="仿宋_GB2312"/>
          <w:sz w:val="32"/>
          <w:szCs w:val="32"/>
          <w:lang w:val="en-US" w:eastAsia="zh-CN"/>
        </w:rPr>
      </w:pPr>
      <w:r>
        <w:rPr>
          <w:rFonts w:hint="eastAsia" w:ascii="仿宋_GB2312" w:eastAsia="仿宋_GB2312"/>
          <w:sz w:val="32"/>
          <w:szCs w:val="32"/>
          <w:lang w:val="en-US" w:eastAsia="zh-CN"/>
        </w:rPr>
        <w:t>（四）申报单位应贯彻落实《黑龙江省质量安全手册实施细则（试行）》（以下简称“细则”），结合细则制定企业级施工质量安全管理制度，并在申报工程项目实施；</w:t>
      </w:r>
    </w:p>
    <w:p w14:paraId="74F7D077">
      <w:pPr>
        <w:spacing w:line="580" w:lineRule="exact"/>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（五）涉及结构安全稳定的工程项目，应由参建各方（建设、勘察、设计、监理、施工）进行结构优良工程质量自评价，推荐单位对评价结果进行复核，并报送省建协登记备案；</w:t>
      </w:r>
    </w:p>
    <w:p w14:paraId="02108672">
      <w:pPr>
        <w:spacing w:line="580" w:lineRule="exact"/>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（六）房屋建筑和市政公用工程应取得竣工验收备案证，工业、交通、水利工程应完成交（竣）工验收；装饰装修工程应完成竣工验收；</w:t>
      </w:r>
    </w:p>
    <w:p w14:paraId="002D8B90">
      <w:pPr>
        <w:spacing w:line="580" w:lineRule="exact"/>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（七）申报工程应使用（运营）经过一个冬、雨季且未发现质量隐患或质量缺陷，工程使用期一般不超过四年；</w:t>
      </w:r>
    </w:p>
    <w:p w14:paraId="125CB552">
      <w:pPr>
        <w:spacing w:line="580" w:lineRule="exact"/>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（八）境外工程项目还应具备以下条件：</w:t>
      </w:r>
    </w:p>
    <w:p w14:paraId="49495D11">
      <w:pPr>
        <w:spacing w:line="580" w:lineRule="exact"/>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1.申报企业在境外独立承建的工程项目;</w:t>
      </w:r>
    </w:p>
    <w:p w14:paraId="5BB051F9">
      <w:pPr>
        <w:spacing w:line="580" w:lineRule="exact"/>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 xml:space="preserve">2.属于中国政府对外援助的工程项目、或使用中国援外优惠贷款的工程项目、或中外合资项目中方投资50%以上的工程项目; </w:t>
      </w:r>
    </w:p>
    <w:p w14:paraId="2955A8D1">
      <w:pPr>
        <w:spacing w:line="580" w:lineRule="exact"/>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3.工程建设标准主要采用中国工程技术标准；</w:t>
      </w:r>
    </w:p>
    <w:p w14:paraId="50A0FAFB">
      <w:pPr>
        <w:spacing w:line="580" w:lineRule="exact"/>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4.内业资料是外文的，需提供中文稿或中文翻译稿。</w:t>
      </w:r>
    </w:p>
    <w:p w14:paraId="245D4B0D">
      <w:pPr>
        <w:spacing w:line="580" w:lineRule="exact"/>
        <w:ind w:firstLine="645"/>
        <w:rPr>
          <w:rFonts w:hint="eastAsia" w:ascii="仿宋_GB2312" w:eastAsia="仿宋_GB2312"/>
          <w:sz w:val="32"/>
          <w:szCs w:val="32"/>
          <w:lang w:val="en-US" w:eastAsia="zh-CN"/>
        </w:rPr>
      </w:pPr>
      <w:r>
        <w:rPr>
          <w:rFonts w:hint="eastAsia" w:ascii="仿宋_GB2312" w:eastAsia="仿宋_GB2312"/>
          <w:b/>
          <w:bCs/>
          <w:sz w:val="32"/>
          <w:szCs w:val="32"/>
        </w:rPr>
        <w:t>第</w:t>
      </w:r>
      <w:r>
        <w:rPr>
          <w:rFonts w:hint="eastAsia" w:ascii="仿宋_GB2312" w:eastAsia="仿宋_GB2312"/>
          <w:b/>
          <w:bCs/>
          <w:sz w:val="32"/>
          <w:szCs w:val="32"/>
          <w:lang w:val="en-US" w:eastAsia="zh-CN"/>
        </w:rPr>
        <w:t>八</w:t>
      </w:r>
      <w:r>
        <w:rPr>
          <w:rFonts w:hint="eastAsia" w:ascii="仿宋_GB2312" w:eastAsia="仿宋_GB2312"/>
          <w:b/>
          <w:bCs/>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申报工程的主要承建单位，是指与申报工程的建设单位签订施工承包合同的独立法人单位，并具备以下条件：</w:t>
      </w:r>
    </w:p>
    <w:p w14:paraId="01BD8665">
      <w:pPr>
        <w:spacing w:line="580" w:lineRule="exact"/>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（一）在工业建设项目中，应是承建主要生产设备和管线、仪器、仪表的安装单位或是承建主厂房和与生产相关的主要建筑物、构筑物的施工单位；</w:t>
      </w:r>
    </w:p>
    <w:p w14:paraId="1E751FC6">
      <w:pPr>
        <w:spacing w:line="580" w:lineRule="exact"/>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（二）在交通、水利、市政公用工程中，应是承建主体工程或是工程主要部位的施工单位；</w:t>
      </w:r>
    </w:p>
    <w:p w14:paraId="4606FDF7">
      <w:pPr>
        <w:spacing w:line="580" w:lineRule="exact"/>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（三）在建筑工程中，应是承建地基基础与主体结构的施工单位；</w:t>
      </w:r>
    </w:p>
    <w:p w14:paraId="18C9DF39">
      <w:pPr>
        <w:spacing w:line="580" w:lineRule="exact"/>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（四）在装饰装修工程中，应是独立完成装饰装修的单位。申报单位应具有建设行政主管部门颁发的相应工程施工资质证书，且与有关单位签订有效的建筑装饰施工合同。</w:t>
      </w:r>
    </w:p>
    <w:p w14:paraId="2FFAC0A5">
      <w:pPr>
        <w:spacing w:line="580" w:lineRule="exact"/>
        <w:ind w:firstLine="645"/>
        <w:rPr>
          <w:rFonts w:hint="eastAsia" w:ascii="仿宋_GB2312" w:eastAsia="仿宋_GB2312"/>
          <w:sz w:val="32"/>
          <w:szCs w:val="32"/>
          <w:lang w:val="en-US" w:eastAsia="zh-CN"/>
        </w:rPr>
      </w:pPr>
      <w:r>
        <w:rPr>
          <w:rFonts w:hint="eastAsia" w:ascii="仿宋_GB2312" w:eastAsia="仿宋_GB2312"/>
          <w:b/>
          <w:bCs/>
          <w:sz w:val="32"/>
          <w:szCs w:val="32"/>
        </w:rPr>
        <w:t>第</w:t>
      </w:r>
      <w:r>
        <w:rPr>
          <w:rFonts w:hint="eastAsia" w:ascii="仿宋_GB2312" w:eastAsia="仿宋_GB2312"/>
          <w:b/>
          <w:bCs/>
          <w:sz w:val="32"/>
          <w:szCs w:val="32"/>
          <w:lang w:val="en-US" w:eastAsia="zh-CN"/>
        </w:rPr>
        <w:t>九</w:t>
      </w:r>
      <w:r>
        <w:rPr>
          <w:rFonts w:hint="eastAsia" w:ascii="仿宋_GB2312" w:eastAsia="仿宋_GB2312"/>
          <w:b/>
          <w:bCs/>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申报工程的主要参建单位是指与承建单位签订专业分包合同的独立法人单位，其完成的建安工作量应占10%以上或合同额在500万以上。</w:t>
      </w:r>
    </w:p>
    <w:p w14:paraId="264BD008">
      <w:pPr>
        <w:spacing w:line="580" w:lineRule="exact"/>
        <w:ind w:firstLine="645"/>
        <w:rPr>
          <w:rFonts w:hint="default" w:ascii="仿宋_GB2312" w:eastAsia="仿宋_GB2312"/>
          <w:sz w:val="32"/>
          <w:szCs w:val="32"/>
          <w:lang w:val="en-US" w:eastAsia="zh-CN"/>
        </w:rPr>
      </w:pPr>
      <w:r>
        <w:rPr>
          <w:rFonts w:hint="eastAsia" w:ascii="仿宋_GB2312" w:eastAsia="仿宋_GB2312"/>
          <w:b/>
          <w:bCs/>
          <w:sz w:val="32"/>
          <w:szCs w:val="32"/>
          <w:lang w:val="en-US" w:eastAsia="zh-CN"/>
        </w:rPr>
        <w:t>第十条</w:t>
      </w:r>
      <w:r>
        <w:rPr>
          <w:rFonts w:hint="eastAsia" w:ascii="仿宋_GB2312" w:eastAsia="仿宋_GB2312"/>
          <w:sz w:val="32"/>
          <w:szCs w:val="32"/>
          <w:lang w:val="en-US" w:eastAsia="zh-CN"/>
        </w:rPr>
        <w:t xml:space="preserve">  对于分标段发包的大型建设工程，两家以上建筑施工企业分别与建设单位签订不同标段的施工承包合同，也可以联合申报。</w:t>
      </w:r>
    </w:p>
    <w:p w14:paraId="573A469C">
      <w:pPr>
        <w:spacing w:line="580" w:lineRule="exact"/>
        <w:ind w:firstLine="645"/>
        <w:rPr>
          <w:rFonts w:hint="eastAsia" w:ascii="仿宋_GB2312" w:eastAsia="仿宋_GB2312"/>
          <w:sz w:val="32"/>
          <w:szCs w:val="32"/>
          <w:lang w:val="en-US" w:eastAsia="zh-CN"/>
        </w:rPr>
      </w:pPr>
      <w:r>
        <w:rPr>
          <w:rFonts w:hint="eastAsia" w:ascii="仿宋_GB2312" w:eastAsia="仿宋_GB2312"/>
          <w:b/>
          <w:bCs/>
          <w:sz w:val="32"/>
          <w:szCs w:val="32"/>
        </w:rPr>
        <w:t>第十</w:t>
      </w:r>
      <w:r>
        <w:rPr>
          <w:rFonts w:hint="eastAsia" w:ascii="仿宋_GB2312" w:eastAsia="仿宋_GB2312"/>
          <w:b/>
          <w:bCs/>
          <w:sz w:val="32"/>
          <w:szCs w:val="32"/>
          <w:lang w:val="en-US" w:eastAsia="zh-CN"/>
        </w:rPr>
        <w:t>一</w:t>
      </w:r>
      <w:r>
        <w:rPr>
          <w:rFonts w:hint="eastAsia" w:ascii="仿宋_GB2312" w:eastAsia="仿宋_GB2312"/>
          <w:b/>
          <w:bCs/>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有下列情况的工程不得参与“龙江杯”评价工作：</w:t>
      </w:r>
    </w:p>
    <w:p w14:paraId="4A655B34">
      <w:pPr>
        <w:spacing w:line="580" w:lineRule="exact"/>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（一）虽已正式竣工验收，但还有甩项未完的工程；</w:t>
      </w:r>
    </w:p>
    <w:p w14:paraId="23BA2084">
      <w:pPr>
        <w:spacing w:line="580" w:lineRule="exact"/>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（二）存在质量、安全隐患、功能性缺陷的工程，或经处理仍存在永久性缺陷的工程；</w:t>
      </w:r>
    </w:p>
    <w:p w14:paraId="08112229">
      <w:pPr>
        <w:spacing w:line="580" w:lineRule="exact"/>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（三）发生过质量事故或生产安全事故以及在社会上造成恶劣影响事件的工程；</w:t>
      </w:r>
    </w:p>
    <w:p w14:paraId="735BF5AA">
      <w:pPr>
        <w:spacing w:line="580" w:lineRule="exact"/>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（四）竣工后全部被隐蔽的工程；</w:t>
      </w:r>
    </w:p>
    <w:p w14:paraId="60826618">
      <w:pPr>
        <w:spacing w:line="580" w:lineRule="exact"/>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（五）涉密工程；</w:t>
      </w:r>
    </w:p>
    <w:p w14:paraId="021D9325">
      <w:pPr>
        <w:spacing w:line="580" w:lineRule="exact"/>
        <w:ind w:firstLine="645"/>
        <w:rPr>
          <w:rFonts w:hint="default" w:ascii="仿宋_GB2312" w:eastAsia="仿宋_GB2312"/>
          <w:sz w:val="32"/>
          <w:szCs w:val="32"/>
          <w:lang w:val="en-US" w:eastAsia="zh-CN"/>
        </w:rPr>
      </w:pPr>
      <w:r>
        <w:rPr>
          <w:rFonts w:hint="eastAsia" w:ascii="仿宋_GB2312" w:eastAsia="仿宋_GB2312"/>
          <w:sz w:val="32"/>
          <w:szCs w:val="32"/>
          <w:lang w:val="en-US" w:eastAsia="zh-CN"/>
        </w:rPr>
        <w:t>（六）已申报且未获得“龙江杯”项目不得再次申报；</w:t>
      </w:r>
    </w:p>
    <w:p w14:paraId="196CFF53">
      <w:pPr>
        <w:spacing w:line="580" w:lineRule="exact"/>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（七）装饰装修工程不得在整体工程已获得“龙江杯”基础上再次申报；</w:t>
      </w:r>
    </w:p>
    <w:p w14:paraId="627822F3">
      <w:pPr>
        <w:spacing w:line="580" w:lineRule="exact"/>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（八）在施工过程中和交（竣）工后有法律纠纷的工程。</w:t>
      </w:r>
    </w:p>
    <w:p w14:paraId="265B1A1D">
      <w:pPr>
        <w:spacing w:line="580" w:lineRule="exact"/>
        <w:rPr>
          <w:rFonts w:hint="eastAsia" w:ascii="仿宋_GB2312" w:eastAsia="仿宋_GB2312"/>
          <w:b/>
          <w:bCs/>
          <w:sz w:val="32"/>
          <w:szCs w:val="32"/>
        </w:rPr>
      </w:pPr>
    </w:p>
    <w:p w14:paraId="4CB859D6">
      <w:pPr>
        <w:spacing w:line="600" w:lineRule="exact"/>
        <w:jc w:val="center"/>
        <w:rPr>
          <w:rFonts w:hint="eastAsia" w:ascii="仿宋_GB2312" w:eastAsia="仿宋_GB2312"/>
          <w:b/>
          <w:bCs/>
          <w:sz w:val="32"/>
          <w:szCs w:val="32"/>
        </w:rPr>
      </w:pPr>
      <w:r>
        <w:rPr>
          <w:rFonts w:hint="eastAsia" w:ascii="仿宋_GB2312" w:eastAsia="仿宋_GB2312"/>
          <w:b/>
          <w:bCs/>
          <w:sz w:val="32"/>
          <w:szCs w:val="32"/>
        </w:rPr>
        <w:t xml:space="preserve">第四章   </w:t>
      </w:r>
      <w:r>
        <w:rPr>
          <w:rFonts w:hint="eastAsia" w:ascii="仿宋_GB2312" w:eastAsia="仿宋_GB2312"/>
          <w:b/>
          <w:bCs/>
          <w:sz w:val="32"/>
          <w:szCs w:val="32"/>
          <w:lang w:val="en-US" w:eastAsia="zh-CN"/>
        </w:rPr>
        <w:t>评价</w:t>
      </w:r>
      <w:r>
        <w:rPr>
          <w:rFonts w:hint="eastAsia" w:ascii="仿宋_GB2312" w:eastAsia="仿宋_GB2312"/>
          <w:b/>
          <w:bCs/>
          <w:sz w:val="32"/>
          <w:szCs w:val="32"/>
        </w:rPr>
        <w:t>机构和</w:t>
      </w:r>
      <w:r>
        <w:rPr>
          <w:rFonts w:hint="eastAsia" w:ascii="仿宋_GB2312" w:eastAsia="仿宋_GB2312"/>
          <w:b/>
          <w:bCs/>
          <w:sz w:val="32"/>
          <w:szCs w:val="32"/>
          <w:lang w:val="en-US" w:eastAsia="zh-CN"/>
        </w:rPr>
        <w:t>评价</w:t>
      </w:r>
      <w:r>
        <w:rPr>
          <w:rFonts w:hint="eastAsia" w:ascii="仿宋_GB2312" w:eastAsia="仿宋_GB2312"/>
          <w:b/>
          <w:bCs/>
          <w:sz w:val="32"/>
          <w:szCs w:val="32"/>
        </w:rPr>
        <w:t>程序</w:t>
      </w:r>
    </w:p>
    <w:p w14:paraId="6FD81F8B">
      <w:pPr>
        <w:spacing w:line="580" w:lineRule="exact"/>
        <w:ind w:firstLine="645"/>
        <w:rPr>
          <w:rFonts w:hint="eastAsia" w:ascii="仿宋_GB2312" w:eastAsia="仿宋_GB2312"/>
          <w:color w:val="auto"/>
          <w:sz w:val="32"/>
          <w:szCs w:val="32"/>
          <w:lang w:val="en-US" w:eastAsia="zh-CN"/>
        </w:rPr>
      </w:pPr>
      <w:r>
        <w:rPr>
          <w:rFonts w:hint="eastAsia" w:ascii="仿宋_GB2312" w:eastAsia="仿宋_GB2312"/>
          <w:b/>
          <w:bCs/>
          <w:color w:val="auto"/>
          <w:sz w:val="32"/>
          <w:szCs w:val="32"/>
        </w:rPr>
        <w:t>第十</w:t>
      </w:r>
      <w:r>
        <w:rPr>
          <w:rFonts w:hint="eastAsia" w:ascii="仿宋_GB2312" w:eastAsia="仿宋_GB2312"/>
          <w:b/>
          <w:bCs/>
          <w:color w:val="auto"/>
          <w:sz w:val="32"/>
          <w:szCs w:val="32"/>
          <w:lang w:val="en-US" w:eastAsia="zh-CN"/>
        </w:rPr>
        <w:t>二</w:t>
      </w:r>
      <w:r>
        <w:rPr>
          <w:rFonts w:hint="eastAsia" w:ascii="仿宋_GB2312" w:eastAsia="仿宋_GB2312"/>
          <w:b/>
          <w:bCs/>
          <w:color w:val="auto"/>
          <w:sz w:val="32"/>
          <w:szCs w:val="32"/>
        </w:rPr>
        <w:t>条</w:t>
      </w:r>
      <w:r>
        <w:rPr>
          <w:rFonts w:hint="eastAsia" w:ascii="仿宋_GB2312" w:eastAsia="仿宋_GB2312"/>
          <w:color w:val="auto"/>
          <w:sz w:val="32"/>
          <w:szCs w:val="32"/>
        </w:rPr>
        <w:t xml:space="preserve"> </w:t>
      </w:r>
      <w:r>
        <w:rPr>
          <w:rFonts w:hint="eastAsia" w:ascii="仿宋_GB2312" w:eastAsia="仿宋_GB2312"/>
          <w:color w:val="auto"/>
          <w:sz w:val="32"/>
          <w:szCs w:val="32"/>
          <w:lang w:val="en-US" w:eastAsia="zh-CN"/>
        </w:rPr>
        <w:t xml:space="preserve"> 评价机构</w:t>
      </w:r>
    </w:p>
    <w:p w14:paraId="7E32D5C8">
      <w:pPr>
        <w:spacing w:line="580" w:lineRule="exact"/>
        <w:ind w:firstLine="645"/>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龙江杯”评价机构为黑龙江省优质工程（龙江杯）评价委员会（以下简称评价委员会），评价委员会由省建协和有关工程质量专家组成，设主任委员1名、副主任委员1-2名、委员若干名，人数为单数且不少于5人。</w:t>
      </w:r>
    </w:p>
    <w:p w14:paraId="2C5619FF">
      <w:pPr>
        <w:spacing w:line="580" w:lineRule="exact"/>
        <w:ind w:firstLine="645"/>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评价委员会下设评价委员会办公室，主要负责“龙江杯”的申报、初审、预复查、现场复查、评审会议的组织和公示等工作。</w:t>
      </w:r>
    </w:p>
    <w:p w14:paraId="5B6AB345">
      <w:pPr>
        <w:spacing w:line="580" w:lineRule="exact"/>
        <w:ind w:firstLine="645"/>
        <w:rPr>
          <w:rFonts w:hint="eastAsia" w:ascii="仿宋_GB2312" w:eastAsia="仿宋_GB2312"/>
          <w:sz w:val="32"/>
          <w:szCs w:val="32"/>
          <w:lang w:val="en-US" w:eastAsia="zh-CN"/>
        </w:rPr>
      </w:pPr>
      <w:r>
        <w:rPr>
          <w:rFonts w:hint="eastAsia" w:ascii="仿宋_GB2312" w:eastAsia="仿宋_GB2312"/>
          <w:b/>
          <w:bCs/>
          <w:sz w:val="32"/>
          <w:szCs w:val="32"/>
        </w:rPr>
        <w:t>第十</w:t>
      </w:r>
      <w:r>
        <w:rPr>
          <w:rFonts w:hint="eastAsia" w:ascii="仿宋_GB2312" w:eastAsia="仿宋_GB2312"/>
          <w:b/>
          <w:bCs/>
          <w:sz w:val="32"/>
          <w:szCs w:val="32"/>
          <w:lang w:val="en-US" w:eastAsia="zh-CN"/>
        </w:rPr>
        <w:t>三</w:t>
      </w:r>
      <w:r>
        <w:rPr>
          <w:rFonts w:hint="eastAsia" w:ascii="仿宋_GB2312" w:eastAsia="仿宋_GB2312"/>
          <w:b/>
          <w:bCs/>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评价程序：</w:t>
      </w:r>
    </w:p>
    <w:p w14:paraId="5422FEF0">
      <w:pPr>
        <w:spacing w:line="580" w:lineRule="exact"/>
        <w:ind w:firstLine="645"/>
        <w:rPr>
          <w:rFonts w:hint="default" w:ascii="仿宋_GB2312" w:eastAsia="仿宋_GB2312"/>
          <w:sz w:val="32"/>
          <w:szCs w:val="32"/>
          <w:lang w:val="en-US" w:eastAsia="zh-CN"/>
        </w:rPr>
      </w:pPr>
      <w:r>
        <w:rPr>
          <w:rFonts w:hint="eastAsia" w:ascii="仿宋_GB2312" w:eastAsia="仿宋_GB2312"/>
          <w:sz w:val="32"/>
          <w:szCs w:val="32"/>
          <w:lang w:val="en-US" w:eastAsia="zh-CN"/>
        </w:rPr>
        <w:t>（一）推荐及申报</w:t>
      </w:r>
    </w:p>
    <w:p w14:paraId="371F5CBA">
      <w:pPr>
        <w:spacing w:line="580" w:lineRule="exact"/>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1.“龙江杯”由企业自愿申报，申报单位根据本办法和申报通知要求整理申报资料；</w:t>
      </w:r>
    </w:p>
    <w:p w14:paraId="12EE1D17">
      <w:pPr>
        <w:spacing w:line="580" w:lineRule="exact"/>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2.一般工程项目，由工程所在市（地）建筑业协会或建设行政主管部门委托的部门按申报条件择优推荐；</w:t>
      </w:r>
    </w:p>
    <w:p w14:paraId="633D7D6D">
      <w:pPr>
        <w:spacing w:line="580" w:lineRule="exact"/>
        <w:ind w:firstLine="645"/>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3.专业工程项目，经评价委员会办公室确认，可由项目主管单位或建设单位推荐申报；</w:t>
      </w:r>
    </w:p>
    <w:p w14:paraId="5EA87B7D">
      <w:pPr>
        <w:spacing w:line="580" w:lineRule="exact"/>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4.“龙江杯”申报资料实行电子申报的形式，推荐单位对工程申报材料审核后，签署推荐意见，出具推荐函并统一报送到评价委员会办公室。</w:t>
      </w:r>
    </w:p>
    <w:p w14:paraId="5B5624D2">
      <w:pPr>
        <w:spacing w:line="580" w:lineRule="exact"/>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（二）初审</w:t>
      </w:r>
    </w:p>
    <w:p w14:paraId="6013FE5C">
      <w:pPr>
        <w:spacing w:line="580" w:lineRule="exact"/>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1.评价委员会办公室受理申报资料；</w:t>
      </w:r>
    </w:p>
    <w:p w14:paraId="268AFFD4">
      <w:pPr>
        <w:spacing w:line="580" w:lineRule="exact"/>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2.评价委员会办公室组织评价专家对申报资料的基本建设程序合法性、完整性和符合性进行初审；</w:t>
      </w:r>
    </w:p>
    <w:p w14:paraId="555316CC">
      <w:pPr>
        <w:spacing w:line="580" w:lineRule="exact"/>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3.初审通过的工程项目推荐进入预复查程序。</w:t>
      </w:r>
    </w:p>
    <w:p w14:paraId="496300BE">
      <w:pPr>
        <w:spacing w:line="580" w:lineRule="exact"/>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（三）预复查</w:t>
      </w:r>
    </w:p>
    <w:p w14:paraId="3BF7C2F5">
      <w:pPr>
        <w:spacing w:line="580" w:lineRule="exact"/>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1.评价委员会办公室组织专家对申报项目进行现场预复查；</w:t>
      </w:r>
    </w:p>
    <w:p w14:paraId="6D60635E">
      <w:pPr>
        <w:spacing w:line="580" w:lineRule="exact"/>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2.预复查通过的项目推荐进入现场复查程序。</w:t>
      </w:r>
    </w:p>
    <w:p w14:paraId="6E7D3548">
      <w:pPr>
        <w:spacing w:line="580" w:lineRule="exact"/>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（四）现场复查</w:t>
      </w:r>
    </w:p>
    <w:p w14:paraId="63D1DD88">
      <w:pPr>
        <w:spacing w:line="580" w:lineRule="exact"/>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1.评价委员会办公室从省建协专家库中遴选相关专业专家成立现场复查组，复查组采取组长负责制，人数一般为5-7人，现场复查工作由推荐单位和申报单位配合完成；</w:t>
      </w:r>
    </w:p>
    <w:p w14:paraId="3139CF03">
      <w:pPr>
        <w:spacing w:line="580" w:lineRule="exact"/>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2.复查组听取申报单位对工程施工和质量情况的介绍；</w:t>
      </w:r>
    </w:p>
    <w:p w14:paraId="28CA4E68">
      <w:pPr>
        <w:spacing w:line="580" w:lineRule="exact"/>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3.复查组听取建设、使用、设计、监理、检测单位对工程质量的评价意见；复查组与上述单位座谈时，申报单位人员应回避；</w:t>
      </w:r>
    </w:p>
    <w:p w14:paraId="1F59ECAF">
      <w:pPr>
        <w:spacing w:line="580" w:lineRule="exact"/>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4.复查组对法定建设程序文件、施工技术资料及交（竣）工验收资料等全面核查；</w:t>
      </w:r>
    </w:p>
    <w:p w14:paraId="0CD5160A">
      <w:pPr>
        <w:spacing w:line="580" w:lineRule="exact"/>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5.复查组实地查看工程质量，并作出量化评价。复查组要求查看的工程内容和部位申报单位应予满足，不得以任何理由回避和拒绝；</w:t>
      </w:r>
    </w:p>
    <w:p w14:paraId="135140C6">
      <w:pPr>
        <w:spacing w:line="580" w:lineRule="exact"/>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6.复查组内部评议，并对工程复查情况进行现场讲评；</w:t>
      </w:r>
    </w:p>
    <w:p w14:paraId="120F6566">
      <w:pPr>
        <w:spacing w:line="580" w:lineRule="exact"/>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7.复查组组长向评价委员会办公室提交复查报告，复查报告要对复查工程做出客观、真实、全面的评价。</w:t>
      </w:r>
    </w:p>
    <w:p w14:paraId="6EC6419A">
      <w:pPr>
        <w:spacing w:line="580" w:lineRule="exact"/>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（五）评审</w:t>
      </w:r>
    </w:p>
    <w:p w14:paraId="5063D279">
      <w:pPr>
        <w:spacing w:line="580" w:lineRule="exact"/>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评价委员会办公室组织召开“龙江杯”评审会议，并向评价委员会报告初审、预复查及现场复查情况。评价委员会通过评议，以不记名方式投票，达到参会评委三分之二以上票数（含）的工程确定为“龙江杯”候选项目。</w:t>
      </w:r>
    </w:p>
    <w:p w14:paraId="14749502">
      <w:pPr>
        <w:spacing w:line="580" w:lineRule="exact"/>
        <w:ind w:firstLine="645"/>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（六）公示</w:t>
      </w:r>
    </w:p>
    <w:p w14:paraId="1F6E739C">
      <w:pPr>
        <w:spacing w:line="580" w:lineRule="exact"/>
        <w:ind w:firstLine="645"/>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获评</w:t>
      </w:r>
      <w:r>
        <w:rPr>
          <w:rFonts w:hint="eastAsia" w:ascii="仿宋_GB2312" w:eastAsia="仿宋_GB2312"/>
          <w:sz w:val="32"/>
          <w:szCs w:val="32"/>
          <w:lang w:val="en-US" w:eastAsia="zh-CN"/>
        </w:rPr>
        <w:t>“龙江杯”候选项目</w:t>
      </w:r>
      <w:r>
        <w:rPr>
          <w:rFonts w:hint="eastAsia" w:ascii="仿宋_GB2312" w:eastAsia="仿宋_GB2312"/>
          <w:color w:val="auto"/>
          <w:sz w:val="32"/>
          <w:szCs w:val="32"/>
          <w:lang w:val="en-US" w:eastAsia="zh-CN"/>
        </w:rPr>
        <w:t>在黑龙江省建筑业协会网站公示，公示期为7天。</w:t>
      </w:r>
    </w:p>
    <w:p w14:paraId="6F34FD8F">
      <w:pPr>
        <w:spacing w:line="580" w:lineRule="exact"/>
        <w:ind w:firstLine="645"/>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（七）公布</w:t>
      </w:r>
    </w:p>
    <w:p w14:paraId="1C039A99">
      <w:pPr>
        <w:spacing w:line="580" w:lineRule="exact"/>
        <w:ind w:firstLine="645"/>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公示无异议的</w:t>
      </w:r>
      <w:r>
        <w:rPr>
          <w:rFonts w:hint="eastAsia" w:ascii="仿宋_GB2312" w:eastAsia="仿宋_GB2312"/>
          <w:sz w:val="32"/>
          <w:szCs w:val="32"/>
          <w:lang w:val="en-US" w:eastAsia="zh-CN"/>
        </w:rPr>
        <w:t>“龙江杯”候选项目</w:t>
      </w:r>
      <w:r>
        <w:rPr>
          <w:rFonts w:hint="eastAsia" w:ascii="仿宋_GB2312" w:eastAsia="仿宋_GB2312"/>
          <w:color w:val="auto"/>
          <w:sz w:val="32"/>
          <w:szCs w:val="32"/>
          <w:lang w:val="en-US" w:eastAsia="zh-CN"/>
        </w:rPr>
        <w:t>在黑龙江省建筑业协会网站公布。</w:t>
      </w:r>
    </w:p>
    <w:p w14:paraId="0AF9BC83">
      <w:pPr>
        <w:spacing w:line="580" w:lineRule="exact"/>
        <w:ind w:firstLine="645"/>
        <w:rPr>
          <w:rFonts w:hint="default" w:ascii="仿宋_GB2312" w:eastAsia="仿宋_GB2312"/>
          <w:sz w:val="32"/>
          <w:szCs w:val="32"/>
          <w:lang w:val="en-US" w:eastAsia="zh-CN"/>
        </w:rPr>
      </w:pPr>
      <w:r>
        <w:rPr>
          <w:rFonts w:hint="default" w:ascii="仿宋_GB2312" w:eastAsia="仿宋_GB2312"/>
          <w:b/>
          <w:bCs/>
          <w:sz w:val="32"/>
          <w:szCs w:val="32"/>
          <w:lang w:val="en-US" w:eastAsia="zh-CN"/>
        </w:rPr>
        <w:t>第十</w:t>
      </w:r>
      <w:r>
        <w:rPr>
          <w:rFonts w:hint="eastAsia" w:ascii="仿宋_GB2312" w:eastAsia="仿宋_GB2312"/>
          <w:b/>
          <w:bCs/>
          <w:sz w:val="32"/>
          <w:szCs w:val="32"/>
          <w:lang w:val="en-US" w:eastAsia="zh-CN"/>
        </w:rPr>
        <w:t>四</w:t>
      </w:r>
      <w:r>
        <w:rPr>
          <w:rFonts w:hint="default" w:ascii="仿宋_GB2312" w:eastAsia="仿宋_GB2312"/>
          <w:b/>
          <w:bCs/>
          <w:sz w:val="32"/>
          <w:szCs w:val="32"/>
          <w:lang w:val="en-US" w:eastAsia="zh-CN"/>
        </w:rPr>
        <w:t>条</w:t>
      </w:r>
      <w:r>
        <w:rPr>
          <w:rFonts w:hint="default" w:ascii="仿宋_GB2312" w:eastAsia="仿宋_GB2312"/>
          <w:sz w:val="32"/>
          <w:szCs w:val="32"/>
          <w:lang w:val="en-US" w:eastAsia="zh-CN"/>
        </w:rPr>
        <w:t xml:space="preserve">  境外</w:t>
      </w:r>
      <w:r>
        <w:rPr>
          <w:rFonts w:hint="eastAsia" w:ascii="仿宋_GB2312" w:eastAsia="仿宋_GB2312"/>
          <w:sz w:val="32"/>
          <w:szCs w:val="32"/>
          <w:lang w:val="en-US" w:eastAsia="zh-CN"/>
        </w:rPr>
        <w:t>工程评价</w:t>
      </w:r>
      <w:r>
        <w:rPr>
          <w:rFonts w:hint="default" w:ascii="仿宋_GB2312" w:eastAsia="仿宋_GB2312"/>
          <w:sz w:val="32"/>
          <w:szCs w:val="32"/>
          <w:lang w:val="en-US" w:eastAsia="zh-CN"/>
        </w:rPr>
        <w:t>程序</w:t>
      </w:r>
    </w:p>
    <w:p w14:paraId="0460C5B5">
      <w:pPr>
        <w:spacing w:line="580" w:lineRule="exact"/>
        <w:ind w:firstLine="645"/>
        <w:rPr>
          <w:rFonts w:hint="default" w:ascii="仿宋_GB2312" w:eastAsia="仿宋_GB2312"/>
          <w:sz w:val="32"/>
          <w:szCs w:val="32"/>
          <w:lang w:val="en-US" w:eastAsia="zh-CN"/>
        </w:rPr>
      </w:pPr>
      <w:r>
        <w:rPr>
          <w:rFonts w:hint="default" w:ascii="仿宋_GB2312" w:eastAsia="仿宋_GB2312"/>
          <w:sz w:val="32"/>
          <w:szCs w:val="32"/>
          <w:lang w:val="en-US" w:eastAsia="zh-CN"/>
        </w:rPr>
        <w:t>境外工程</w:t>
      </w:r>
      <w:r>
        <w:rPr>
          <w:rFonts w:hint="eastAsia" w:ascii="仿宋_GB2312" w:eastAsia="仿宋_GB2312"/>
          <w:sz w:val="32"/>
          <w:szCs w:val="32"/>
          <w:lang w:val="en-US" w:eastAsia="zh-CN"/>
        </w:rPr>
        <w:t>不设预复查评选环节，现场复查原则上</w:t>
      </w:r>
      <w:r>
        <w:rPr>
          <w:rFonts w:hint="default" w:ascii="仿宋_GB2312" w:eastAsia="仿宋_GB2312"/>
          <w:sz w:val="32"/>
          <w:szCs w:val="32"/>
          <w:lang w:val="en-US" w:eastAsia="zh-CN"/>
        </w:rPr>
        <w:t>以远程视频检查的方式进行，其余</w:t>
      </w:r>
      <w:r>
        <w:rPr>
          <w:rFonts w:hint="eastAsia" w:ascii="仿宋_GB2312" w:eastAsia="仿宋_GB2312"/>
          <w:sz w:val="32"/>
          <w:szCs w:val="32"/>
          <w:lang w:val="en-US" w:eastAsia="zh-CN"/>
        </w:rPr>
        <w:t>评价</w:t>
      </w:r>
      <w:r>
        <w:rPr>
          <w:rFonts w:hint="default" w:ascii="仿宋_GB2312" w:eastAsia="仿宋_GB2312"/>
          <w:sz w:val="32"/>
          <w:szCs w:val="32"/>
          <w:lang w:val="en-US" w:eastAsia="zh-CN"/>
        </w:rPr>
        <w:t>程序参</w:t>
      </w:r>
      <w:r>
        <w:rPr>
          <w:rFonts w:hint="default" w:ascii="仿宋_GB2312" w:eastAsia="仿宋_GB2312"/>
          <w:sz w:val="32"/>
          <w:szCs w:val="32"/>
          <w:highlight w:val="none"/>
          <w:lang w:val="en-US" w:eastAsia="zh-CN"/>
        </w:rPr>
        <w:t>照“第十</w:t>
      </w:r>
      <w:r>
        <w:rPr>
          <w:rFonts w:hint="eastAsia" w:ascii="仿宋_GB2312" w:eastAsia="仿宋_GB2312"/>
          <w:sz w:val="32"/>
          <w:szCs w:val="32"/>
          <w:highlight w:val="none"/>
          <w:lang w:val="en-US" w:eastAsia="zh-CN"/>
        </w:rPr>
        <w:t>三</w:t>
      </w:r>
      <w:r>
        <w:rPr>
          <w:rFonts w:hint="default" w:ascii="仿宋_GB2312" w:eastAsia="仿宋_GB2312"/>
          <w:sz w:val="32"/>
          <w:szCs w:val="32"/>
          <w:highlight w:val="none"/>
          <w:lang w:val="en-US" w:eastAsia="zh-CN"/>
        </w:rPr>
        <w:t>条”执</w:t>
      </w:r>
      <w:r>
        <w:rPr>
          <w:rFonts w:hint="default" w:ascii="仿宋_GB2312" w:eastAsia="仿宋_GB2312"/>
          <w:sz w:val="32"/>
          <w:szCs w:val="32"/>
          <w:lang w:val="en-US" w:eastAsia="zh-CN"/>
        </w:rPr>
        <w:t>行。</w:t>
      </w:r>
    </w:p>
    <w:p w14:paraId="38E15A15">
      <w:pPr>
        <w:spacing w:line="580" w:lineRule="exact"/>
        <w:ind w:firstLine="640" w:firstLineChars="200"/>
        <w:rPr>
          <w:rFonts w:hint="eastAsia" w:ascii="仿宋_GB2312" w:eastAsia="仿宋_GB2312"/>
          <w:sz w:val="32"/>
          <w:szCs w:val="32"/>
        </w:rPr>
      </w:pPr>
    </w:p>
    <w:p w14:paraId="19360226">
      <w:pPr>
        <w:spacing w:line="600" w:lineRule="exact"/>
        <w:jc w:val="center"/>
        <w:rPr>
          <w:rFonts w:hint="eastAsia" w:ascii="仿宋_GB2312" w:eastAsia="仿宋_GB2312"/>
          <w:b/>
          <w:bCs/>
          <w:color w:val="auto"/>
          <w:sz w:val="32"/>
          <w:szCs w:val="32"/>
        </w:rPr>
      </w:pPr>
      <w:r>
        <w:rPr>
          <w:rFonts w:hint="eastAsia" w:ascii="仿宋_GB2312" w:eastAsia="仿宋_GB2312"/>
          <w:b/>
          <w:bCs/>
          <w:color w:val="auto"/>
          <w:sz w:val="32"/>
          <w:szCs w:val="32"/>
        </w:rPr>
        <w:t xml:space="preserve">第五章   </w:t>
      </w:r>
      <w:r>
        <w:rPr>
          <w:rFonts w:hint="eastAsia" w:ascii="仿宋_GB2312" w:eastAsia="仿宋_GB2312"/>
          <w:b/>
          <w:bCs/>
          <w:color w:val="auto"/>
          <w:sz w:val="32"/>
          <w:szCs w:val="32"/>
          <w:lang w:val="en-US" w:eastAsia="zh-CN"/>
        </w:rPr>
        <w:t>激励机制</w:t>
      </w:r>
    </w:p>
    <w:p w14:paraId="3F0B7276">
      <w:pPr>
        <w:spacing w:line="580" w:lineRule="exact"/>
        <w:ind w:firstLine="645"/>
        <w:rPr>
          <w:rFonts w:ascii="仿宋_GB2312" w:eastAsia="仿宋_GB2312"/>
          <w:sz w:val="32"/>
          <w:szCs w:val="32"/>
        </w:rPr>
      </w:pPr>
      <w:r>
        <w:rPr>
          <w:rFonts w:hint="eastAsia" w:ascii="仿宋_GB2312" w:eastAsia="仿宋_GB2312"/>
          <w:b/>
          <w:bCs/>
          <w:sz w:val="32"/>
          <w:szCs w:val="32"/>
        </w:rPr>
        <w:t>第十</w:t>
      </w:r>
      <w:r>
        <w:rPr>
          <w:rFonts w:hint="eastAsia" w:ascii="仿宋_GB2312" w:eastAsia="仿宋_GB2312"/>
          <w:b/>
          <w:bCs/>
          <w:sz w:val="32"/>
          <w:szCs w:val="32"/>
          <w:lang w:val="en-US" w:eastAsia="zh-CN"/>
        </w:rPr>
        <w:t>五</w:t>
      </w:r>
      <w:r>
        <w:rPr>
          <w:rFonts w:hint="eastAsia" w:ascii="仿宋_GB2312" w:eastAsia="仿宋_GB2312"/>
          <w:b/>
          <w:bCs/>
          <w:sz w:val="32"/>
          <w:szCs w:val="32"/>
        </w:rPr>
        <w:t>条</w:t>
      </w:r>
      <w:r>
        <w:rPr>
          <w:rFonts w:hint="eastAsia" w:ascii="仿宋_GB2312" w:eastAsia="仿宋_GB2312"/>
          <w:sz w:val="32"/>
          <w:szCs w:val="32"/>
        </w:rPr>
        <w:t xml:space="preserve">  获得</w:t>
      </w:r>
      <w:r>
        <w:rPr>
          <w:rFonts w:hint="eastAsia" w:ascii="仿宋_GB2312" w:eastAsia="仿宋_GB2312"/>
          <w:sz w:val="32"/>
          <w:szCs w:val="32"/>
          <w:lang w:val="en-US" w:eastAsia="zh-CN"/>
        </w:rPr>
        <w:t>“龙江杯”评价</w:t>
      </w:r>
      <w:r>
        <w:rPr>
          <w:rFonts w:hint="eastAsia" w:ascii="仿宋_GB2312" w:eastAsia="仿宋_GB2312"/>
          <w:sz w:val="32"/>
          <w:szCs w:val="32"/>
        </w:rPr>
        <w:t>的项目</w:t>
      </w:r>
      <w:r>
        <w:rPr>
          <w:rFonts w:hint="eastAsia" w:ascii="仿宋_GB2312" w:eastAsia="仿宋_GB2312"/>
          <w:sz w:val="32"/>
          <w:szCs w:val="32"/>
          <w:lang w:eastAsia="zh-CN"/>
        </w:rPr>
        <w:t>，</w:t>
      </w:r>
      <w:r>
        <w:rPr>
          <w:rFonts w:hint="eastAsia" w:ascii="仿宋_GB2312" w:eastAsia="仿宋_GB2312"/>
          <w:sz w:val="32"/>
          <w:szCs w:val="32"/>
        </w:rPr>
        <w:t>由省建协</w:t>
      </w:r>
      <w:r>
        <w:rPr>
          <w:rFonts w:hint="eastAsia" w:ascii="仿宋_GB2312" w:eastAsia="仿宋_GB2312"/>
          <w:sz w:val="32"/>
          <w:szCs w:val="32"/>
          <w:highlight w:val="none"/>
        </w:rPr>
        <w:t>授予奖牌和证书。</w:t>
      </w:r>
      <w:r>
        <w:rPr>
          <w:rFonts w:hint="eastAsia" w:ascii="仿宋_GB2312" w:eastAsia="仿宋_GB2312"/>
          <w:sz w:val="32"/>
          <w:szCs w:val="32"/>
          <w:highlight w:val="none"/>
          <w:lang w:val="en-US" w:eastAsia="zh-CN"/>
        </w:rPr>
        <w:t>公布</w:t>
      </w:r>
      <w:r>
        <w:rPr>
          <w:rFonts w:hint="eastAsia" w:ascii="仿宋_GB2312" w:eastAsia="仿宋_GB2312"/>
          <w:sz w:val="32"/>
          <w:szCs w:val="32"/>
        </w:rPr>
        <w:t>对象为工程的建设、设计、监理、施工单位，项目经理、质量负责人、技术负责人、总监。</w:t>
      </w:r>
    </w:p>
    <w:p w14:paraId="024357EF">
      <w:pPr>
        <w:spacing w:line="580" w:lineRule="exact"/>
        <w:ind w:firstLine="645"/>
        <w:rPr>
          <w:rFonts w:hint="eastAsia" w:ascii="仿宋_GB2312" w:eastAsia="仿宋_GB2312"/>
          <w:sz w:val="32"/>
          <w:szCs w:val="32"/>
          <w:lang w:val="en-US" w:eastAsia="zh-CN"/>
        </w:rPr>
      </w:pPr>
      <w:r>
        <w:rPr>
          <w:rFonts w:hint="eastAsia" w:ascii="仿宋_GB2312" w:eastAsia="仿宋_GB2312"/>
          <w:b/>
          <w:bCs/>
          <w:sz w:val="32"/>
          <w:szCs w:val="32"/>
        </w:rPr>
        <w:t>第</w:t>
      </w:r>
      <w:r>
        <w:rPr>
          <w:rFonts w:hint="eastAsia" w:ascii="仿宋_GB2312" w:eastAsia="仿宋_GB2312"/>
          <w:b/>
          <w:bCs/>
          <w:sz w:val="32"/>
          <w:szCs w:val="32"/>
          <w:lang w:val="en-US" w:eastAsia="zh-CN"/>
        </w:rPr>
        <w:t>十六</w:t>
      </w:r>
      <w:r>
        <w:rPr>
          <w:rFonts w:hint="eastAsia" w:ascii="仿宋_GB2312" w:eastAsia="仿宋_GB2312"/>
          <w:b/>
          <w:bCs/>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实行鼓励企业的优惠政策</w:t>
      </w:r>
    </w:p>
    <w:p w14:paraId="66D08649">
      <w:pPr>
        <w:spacing w:line="580" w:lineRule="exact"/>
        <w:ind w:firstLine="645"/>
        <w:rPr>
          <w:rFonts w:hint="eastAsia" w:ascii="仿宋_GB2312" w:eastAsia="仿宋_GB2312"/>
          <w:sz w:val="32"/>
          <w:szCs w:val="32"/>
          <w:lang w:val="en-US" w:eastAsia="zh-CN"/>
        </w:rPr>
      </w:pPr>
      <w:r>
        <w:rPr>
          <w:rFonts w:hint="eastAsia" w:ascii="仿宋_GB2312" w:eastAsia="仿宋_GB2312"/>
          <w:sz w:val="32"/>
          <w:szCs w:val="32"/>
          <w:lang w:val="en-US" w:eastAsia="zh-CN"/>
        </w:rPr>
        <w:t>按市场经济规律，实行优质优价，具体可以参照《关于加快培育重点建筑业企业的若干意见》（黑建建</w:t>
      </w:r>
      <w:r>
        <w:rPr>
          <w:rFonts w:hint="eastAsia" w:ascii="仿宋" w:hAnsi="仿宋" w:eastAsia="仿宋" w:cs="仿宋"/>
          <w:color w:val="000000"/>
          <w:sz w:val="32"/>
          <w:szCs w:val="32"/>
          <w:shd w:val="clear" w:color="auto" w:fill="FFFFFF"/>
        </w:rPr>
        <w:t>〔202</w:t>
      </w:r>
      <w:r>
        <w:rPr>
          <w:rFonts w:hint="eastAsia" w:ascii="仿宋" w:hAnsi="仿宋" w:eastAsia="仿宋" w:cs="仿宋"/>
          <w:color w:val="000000"/>
          <w:sz w:val="32"/>
          <w:szCs w:val="32"/>
          <w:shd w:val="clear" w:color="auto" w:fill="FFFFFF"/>
          <w:lang w:val="en-US" w:eastAsia="zh-CN"/>
        </w:rPr>
        <w:t>1</w:t>
      </w:r>
      <w:r>
        <w:rPr>
          <w:rFonts w:hint="eastAsia" w:ascii="仿宋" w:hAnsi="仿宋" w:eastAsia="仿宋" w:cs="仿宋"/>
          <w:color w:val="000000"/>
          <w:sz w:val="32"/>
          <w:szCs w:val="32"/>
          <w:shd w:val="clear" w:color="auto" w:fill="FFFFFF"/>
        </w:rPr>
        <w:t>〕</w:t>
      </w:r>
      <w:r>
        <w:rPr>
          <w:rFonts w:hint="eastAsia" w:ascii="仿宋_GB2312" w:eastAsia="仿宋_GB2312"/>
          <w:sz w:val="32"/>
          <w:szCs w:val="32"/>
          <w:lang w:val="en-US" w:eastAsia="zh-CN"/>
        </w:rPr>
        <w:t>6号）文件中的相关内容执行。</w:t>
      </w:r>
    </w:p>
    <w:p w14:paraId="078FCF03">
      <w:pPr>
        <w:spacing w:line="600" w:lineRule="exact"/>
        <w:ind w:firstLine="640" w:firstLineChars="200"/>
        <w:jc w:val="left"/>
        <w:rPr>
          <w:rFonts w:hint="eastAsia" w:ascii="仿宋_GB2312" w:hAnsi="仿宋" w:eastAsia="仿宋_GB2312"/>
          <w:sz w:val="32"/>
          <w:szCs w:val="32"/>
        </w:rPr>
      </w:pPr>
    </w:p>
    <w:p w14:paraId="3AF54F85">
      <w:pPr>
        <w:spacing w:line="600" w:lineRule="exact"/>
        <w:jc w:val="center"/>
        <w:rPr>
          <w:rFonts w:hint="eastAsia" w:ascii="仿宋_GB2312" w:eastAsia="仿宋_GB2312"/>
          <w:b/>
          <w:bCs/>
          <w:sz w:val="32"/>
          <w:szCs w:val="32"/>
        </w:rPr>
      </w:pPr>
      <w:r>
        <w:rPr>
          <w:rFonts w:hint="eastAsia" w:ascii="仿宋_GB2312" w:eastAsia="仿宋_GB2312"/>
          <w:b/>
          <w:bCs/>
          <w:sz w:val="32"/>
          <w:szCs w:val="32"/>
        </w:rPr>
        <w:t>第六章  纪律</w:t>
      </w:r>
    </w:p>
    <w:p w14:paraId="7C0A72B1">
      <w:pPr>
        <w:spacing w:line="580" w:lineRule="exact"/>
        <w:ind w:firstLine="645"/>
        <w:rPr>
          <w:rFonts w:hint="eastAsia" w:ascii="仿宋_GB2312" w:eastAsia="仿宋_GB2312"/>
          <w:sz w:val="32"/>
          <w:szCs w:val="32"/>
          <w:lang w:val="en-US" w:eastAsia="zh-CN"/>
        </w:rPr>
      </w:pPr>
      <w:r>
        <w:rPr>
          <w:rFonts w:hint="eastAsia" w:ascii="仿宋_GB2312" w:eastAsia="仿宋_GB2312"/>
          <w:b/>
          <w:bCs/>
          <w:sz w:val="32"/>
          <w:szCs w:val="32"/>
        </w:rPr>
        <w:t>第十</w:t>
      </w:r>
      <w:r>
        <w:rPr>
          <w:rFonts w:hint="eastAsia" w:ascii="仿宋_GB2312" w:eastAsia="仿宋_GB2312"/>
          <w:b/>
          <w:bCs/>
          <w:sz w:val="32"/>
          <w:szCs w:val="32"/>
          <w:lang w:val="en-US" w:eastAsia="zh-CN"/>
        </w:rPr>
        <w:t>七</w:t>
      </w:r>
      <w:r>
        <w:rPr>
          <w:rFonts w:hint="eastAsia" w:ascii="仿宋_GB2312" w:eastAsia="仿宋_GB2312"/>
          <w:b/>
          <w:bCs/>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“龙江杯”评价工作必须严格执行国家及省有关工程建设管理的法律、法规。</w:t>
      </w:r>
    </w:p>
    <w:p w14:paraId="485FBD18">
      <w:pPr>
        <w:spacing w:line="580" w:lineRule="exact"/>
        <w:ind w:firstLine="645"/>
        <w:rPr>
          <w:rFonts w:hint="eastAsia" w:ascii="仿宋_GB2312" w:eastAsia="仿宋_GB2312"/>
          <w:sz w:val="32"/>
          <w:szCs w:val="32"/>
          <w:lang w:val="en-US" w:eastAsia="zh-CN"/>
        </w:rPr>
      </w:pPr>
      <w:r>
        <w:rPr>
          <w:rFonts w:hint="eastAsia" w:ascii="仿宋_GB2312" w:eastAsia="仿宋_GB2312"/>
          <w:b/>
          <w:bCs/>
          <w:sz w:val="32"/>
          <w:szCs w:val="32"/>
        </w:rPr>
        <w:t>第十</w:t>
      </w:r>
      <w:r>
        <w:rPr>
          <w:rFonts w:hint="eastAsia" w:ascii="仿宋_GB2312" w:eastAsia="仿宋_GB2312"/>
          <w:b/>
          <w:bCs/>
          <w:sz w:val="32"/>
          <w:szCs w:val="32"/>
          <w:lang w:val="en-US" w:eastAsia="zh-CN"/>
        </w:rPr>
        <w:t>八</w:t>
      </w:r>
      <w:r>
        <w:rPr>
          <w:rFonts w:hint="eastAsia" w:ascii="仿宋_GB2312" w:eastAsia="仿宋_GB2312"/>
          <w:b/>
          <w:bCs/>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工程复查实行回避制度。</w:t>
      </w:r>
    </w:p>
    <w:p w14:paraId="62C709D7">
      <w:pPr>
        <w:spacing w:line="600" w:lineRule="exact"/>
        <w:jc w:val="left"/>
        <w:rPr>
          <w:rFonts w:hint="eastAsia" w:ascii="仿宋_GB2312" w:eastAsia="仿宋_GB2312"/>
          <w:sz w:val="32"/>
          <w:szCs w:val="32"/>
          <w:lang w:val="en-US" w:eastAsia="zh-CN"/>
        </w:rPr>
      </w:pPr>
      <w:r>
        <w:rPr>
          <w:rFonts w:hint="eastAsia" w:ascii="仿宋_GB2312" w:eastAsia="仿宋_GB2312"/>
          <w:b/>
          <w:bCs/>
          <w:sz w:val="32"/>
          <w:szCs w:val="32"/>
        </w:rPr>
        <w:t xml:space="preserve">    第</w:t>
      </w:r>
      <w:r>
        <w:rPr>
          <w:rFonts w:hint="eastAsia" w:ascii="仿宋_GB2312" w:eastAsia="仿宋_GB2312"/>
          <w:b/>
          <w:bCs/>
          <w:sz w:val="32"/>
          <w:szCs w:val="32"/>
          <w:lang w:val="en-US" w:eastAsia="zh-CN"/>
        </w:rPr>
        <w:t>十九</w:t>
      </w:r>
      <w:r>
        <w:rPr>
          <w:rFonts w:hint="eastAsia" w:ascii="仿宋_GB2312" w:eastAsia="仿宋_GB2312"/>
          <w:b/>
          <w:bCs/>
          <w:sz w:val="32"/>
          <w:szCs w:val="32"/>
        </w:rPr>
        <w:t>条</w:t>
      </w: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申</w:t>
      </w:r>
      <w:r>
        <w:rPr>
          <w:rFonts w:hint="eastAsia" w:ascii="仿宋_GB2312" w:eastAsia="仿宋_GB2312"/>
          <w:sz w:val="32"/>
          <w:szCs w:val="32"/>
          <w:lang w:val="en-US" w:eastAsia="zh-CN"/>
        </w:rPr>
        <w:t>报单位应积极配合复查组的现场复查工作，严格遵守《黑龙江省优质工程（龙江杯）评价工作纪律规定》。</w:t>
      </w:r>
    </w:p>
    <w:p w14:paraId="03A47233">
      <w:pPr>
        <w:spacing w:line="600" w:lineRule="exact"/>
        <w:ind w:firstLine="643" w:firstLineChars="200"/>
        <w:jc w:val="left"/>
        <w:rPr>
          <w:rFonts w:hint="eastAsia" w:ascii="仿宋_GB2312" w:eastAsia="仿宋_GB2312"/>
          <w:sz w:val="32"/>
          <w:szCs w:val="32"/>
          <w:lang w:val="en-US" w:eastAsia="zh-CN"/>
        </w:rPr>
      </w:pPr>
      <w:r>
        <w:rPr>
          <w:rFonts w:hint="eastAsia" w:ascii="仿宋_GB2312" w:eastAsia="仿宋_GB2312"/>
          <w:b/>
          <w:bCs/>
          <w:sz w:val="32"/>
          <w:szCs w:val="32"/>
        </w:rPr>
        <w:t>第二十条</w:t>
      </w:r>
      <w:r>
        <w:rPr>
          <w:rFonts w:hint="eastAsia" w:ascii="仿宋_GB2312" w:eastAsia="仿宋_GB2312"/>
          <w:b/>
          <w:bCs/>
          <w:sz w:val="32"/>
          <w:szCs w:val="32"/>
          <w:lang w:val="en-US" w:eastAsia="zh-CN"/>
        </w:rPr>
        <w:t xml:space="preserve">  </w:t>
      </w:r>
      <w:r>
        <w:rPr>
          <w:rFonts w:hint="eastAsia" w:ascii="仿宋_GB2312" w:eastAsia="仿宋_GB2312"/>
          <w:sz w:val="32"/>
          <w:szCs w:val="32"/>
          <w:lang w:val="en-US" w:eastAsia="zh-CN"/>
        </w:rPr>
        <w:t>评审委员、专家及工作人员应严格遵守《黑龙江省优质工程（龙江杯）评价工作纪律规定》，要秉公办事，严守秘密，廉洁自律，履职尽责。</w:t>
      </w:r>
    </w:p>
    <w:p w14:paraId="3F342671">
      <w:pPr>
        <w:spacing w:line="600" w:lineRule="exact"/>
        <w:jc w:val="left"/>
        <w:rPr>
          <w:rFonts w:hint="eastAsia" w:ascii="仿宋_GB2312" w:eastAsia="仿宋_GB2312"/>
          <w:sz w:val="32"/>
          <w:szCs w:val="32"/>
          <w:lang w:val="en-US" w:eastAsia="zh-CN"/>
        </w:rPr>
      </w:pPr>
    </w:p>
    <w:p w14:paraId="78B4232C">
      <w:pPr>
        <w:spacing w:line="600" w:lineRule="exact"/>
        <w:jc w:val="center"/>
        <w:rPr>
          <w:rFonts w:hint="eastAsia" w:ascii="仿宋_GB2312" w:eastAsia="仿宋_GB2312"/>
          <w:b/>
          <w:bCs/>
          <w:sz w:val="32"/>
          <w:szCs w:val="32"/>
        </w:rPr>
      </w:pPr>
      <w:r>
        <w:rPr>
          <w:rFonts w:hint="eastAsia" w:ascii="仿宋_GB2312" w:eastAsia="仿宋_GB2312"/>
          <w:b/>
          <w:bCs/>
          <w:sz w:val="32"/>
          <w:szCs w:val="32"/>
        </w:rPr>
        <w:t>第七章   附则</w:t>
      </w:r>
    </w:p>
    <w:p w14:paraId="2FA51553">
      <w:pPr>
        <w:spacing w:line="580" w:lineRule="exact"/>
        <w:ind w:firstLine="645"/>
        <w:rPr>
          <w:rFonts w:hint="eastAsia" w:ascii="仿宋_GB2312" w:eastAsia="仿宋_GB2312"/>
          <w:color w:val="auto"/>
          <w:sz w:val="32"/>
          <w:szCs w:val="32"/>
          <w:lang w:val="en-US" w:eastAsia="zh-CN"/>
        </w:rPr>
      </w:pPr>
      <w:r>
        <w:rPr>
          <w:rFonts w:hint="eastAsia" w:ascii="仿宋_GB2312" w:eastAsia="仿宋_GB2312"/>
          <w:b/>
          <w:bCs/>
          <w:color w:val="auto"/>
          <w:sz w:val="32"/>
          <w:szCs w:val="32"/>
        </w:rPr>
        <w:t>第二十</w:t>
      </w:r>
      <w:r>
        <w:rPr>
          <w:rFonts w:hint="eastAsia" w:ascii="仿宋_GB2312" w:eastAsia="仿宋_GB2312"/>
          <w:b/>
          <w:bCs/>
          <w:color w:val="auto"/>
          <w:sz w:val="32"/>
          <w:szCs w:val="32"/>
          <w:lang w:val="en-US" w:eastAsia="zh-CN"/>
        </w:rPr>
        <w:t>一</w:t>
      </w:r>
      <w:r>
        <w:rPr>
          <w:rFonts w:hint="eastAsia" w:ascii="仿宋_GB2312" w:eastAsia="仿宋_GB2312"/>
          <w:b/>
          <w:bCs/>
          <w:color w:val="auto"/>
          <w:sz w:val="32"/>
          <w:szCs w:val="32"/>
        </w:rPr>
        <w:t>条</w:t>
      </w:r>
      <w:r>
        <w:rPr>
          <w:rFonts w:hint="eastAsia" w:ascii="仿宋_GB2312" w:eastAsia="仿宋_GB2312"/>
          <w:b/>
          <w:bCs/>
          <w:color w:val="auto"/>
          <w:sz w:val="32"/>
          <w:szCs w:val="32"/>
          <w:lang w:val="en-US" w:eastAsia="zh-CN"/>
        </w:rPr>
        <w:t xml:space="preserve">  </w:t>
      </w:r>
      <w:r>
        <w:rPr>
          <w:rFonts w:hint="eastAsia" w:ascii="仿宋_GB2312" w:eastAsia="仿宋_GB2312"/>
          <w:color w:val="auto"/>
          <w:sz w:val="32"/>
          <w:szCs w:val="32"/>
          <w:lang w:val="en-US" w:eastAsia="zh-CN"/>
        </w:rPr>
        <w:t>对已获“龙江杯”的工程，在后续运营中，若发现工程存在较大质量问题或隐患，造成不良社会影响，推荐单位应对工程质量问题或隐患进行核查，并将核查结果报省建协。省建协组织专家对工程进行复核，并有权做出取消该工程“龙江杯”称号的决定。</w:t>
      </w:r>
    </w:p>
    <w:p w14:paraId="6E21413C">
      <w:pPr>
        <w:spacing w:line="580" w:lineRule="exact"/>
        <w:ind w:firstLine="645"/>
        <w:rPr>
          <w:rFonts w:hint="eastAsia" w:ascii="仿宋_GB2312" w:eastAsia="仿宋_GB2312"/>
          <w:sz w:val="32"/>
          <w:szCs w:val="32"/>
          <w:lang w:val="en-US" w:eastAsia="zh-CN"/>
        </w:rPr>
      </w:pPr>
      <w:r>
        <w:rPr>
          <w:rFonts w:hint="eastAsia" w:ascii="仿宋_GB2312" w:eastAsia="仿宋_GB2312"/>
          <w:b/>
          <w:bCs/>
          <w:sz w:val="32"/>
          <w:szCs w:val="32"/>
        </w:rPr>
        <w:t>第二十</w:t>
      </w:r>
      <w:r>
        <w:rPr>
          <w:rFonts w:hint="eastAsia" w:ascii="仿宋_GB2312" w:eastAsia="仿宋_GB2312"/>
          <w:b/>
          <w:bCs/>
          <w:sz w:val="32"/>
          <w:szCs w:val="32"/>
          <w:lang w:val="en-US" w:eastAsia="zh-CN"/>
        </w:rPr>
        <w:t>二</w:t>
      </w:r>
      <w:r>
        <w:rPr>
          <w:rFonts w:hint="eastAsia" w:ascii="仿宋_GB2312" w:eastAsia="仿宋_GB2312"/>
          <w:b/>
          <w:bCs/>
          <w:sz w:val="32"/>
          <w:szCs w:val="32"/>
        </w:rPr>
        <w:t>条</w:t>
      </w:r>
      <w:r>
        <w:rPr>
          <w:rFonts w:hint="eastAsia" w:ascii="仿宋_GB2312" w:eastAsia="仿宋_GB2312"/>
          <w:sz w:val="32"/>
          <w:szCs w:val="32"/>
          <w:lang w:val="en-US" w:eastAsia="zh-CN"/>
        </w:rPr>
        <w:t xml:space="preserve">  “龙江杯”评价是在工程项目交（竣）工验收合格的基础上进行的，不能作为工程项目质量合格的法定证明或依据。</w:t>
      </w:r>
    </w:p>
    <w:p w14:paraId="611E3F7D">
      <w:pPr>
        <w:spacing w:line="580" w:lineRule="exact"/>
        <w:ind w:firstLine="645"/>
        <w:rPr>
          <w:rFonts w:hint="eastAsia" w:ascii="仿宋_GB2312" w:eastAsia="仿宋_GB2312"/>
          <w:sz w:val="32"/>
          <w:szCs w:val="32"/>
          <w:lang w:val="en-US" w:eastAsia="zh-CN"/>
        </w:rPr>
      </w:pPr>
      <w:r>
        <w:rPr>
          <w:rFonts w:hint="eastAsia" w:ascii="仿宋_GB2312" w:eastAsia="仿宋_GB2312"/>
          <w:b/>
          <w:bCs/>
          <w:sz w:val="32"/>
          <w:szCs w:val="32"/>
        </w:rPr>
        <w:t>第二十</w:t>
      </w:r>
      <w:r>
        <w:rPr>
          <w:rFonts w:hint="eastAsia" w:ascii="仿宋_GB2312" w:eastAsia="仿宋_GB2312"/>
          <w:b/>
          <w:bCs/>
          <w:sz w:val="32"/>
          <w:szCs w:val="32"/>
          <w:lang w:val="en-US" w:eastAsia="zh-CN"/>
        </w:rPr>
        <w:t>三</w:t>
      </w:r>
      <w:r>
        <w:rPr>
          <w:rFonts w:hint="eastAsia" w:ascii="仿宋_GB2312" w:eastAsia="仿宋_GB2312"/>
          <w:b/>
          <w:bCs/>
          <w:sz w:val="32"/>
          <w:szCs w:val="32"/>
        </w:rPr>
        <w:t>条</w:t>
      </w:r>
      <w:r>
        <w:rPr>
          <w:rFonts w:hint="eastAsia" w:ascii="仿宋_GB2312" w:eastAsia="仿宋_GB2312"/>
          <w:sz w:val="32"/>
          <w:szCs w:val="32"/>
          <w:lang w:val="en-US" w:eastAsia="zh-CN"/>
        </w:rPr>
        <w:t xml:space="preserve">  本办法自发布之日起施行。</w:t>
      </w:r>
    </w:p>
    <w:p w14:paraId="091845FB">
      <w:pPr>
        <w:spacing w:line="580" w:lineRule="exact"/>
        <w:ind w:firstLine="645"/>
        <w:rPr>
          <w:rFonts w:hint="eastAsia" w:ascii="仿宋_GB2312" w:eastAsia="仿宋_GB2312"/>
          <w:sz w:val="32"/>
          <w:szCs w:val="32"/>
        </w:rPr>
      </w:pPr>
      <w:r>
        <w:rPr>
          <w:rFonts w:hint="eastAsia" w:ascii="仿宋_GB2312" w:eastAsia="仿宋_GB2312"/>
          <w:b/>
          <w:bCs/>
          <w:sz w:val="32"/>
          <w:szCs w:val="32"/>
          <w:lang w:val="en-US" w:eastAsia="zh-CN"/>
        </w:rPr>
        <w:t>第二十四条</w:t>
      </w:r>
      <w:r>
        <w:rPr>
          <w:rFonts w:hint="eastAsia" w:ascii="仿宋_GB2312" w:eastAsia="仿宋_GB2312"/>
          <w:sz w:val="32"/>
          <w:szCs w:val="32"/>
          <w:lang w:val="en-US" w:eastAsia="zh-CN"/>
        </w:rPr>
        <w:t xml:space="preserve">  省建协对本办法拥有最终解释权。</w:t>
      </w:r>
    </w:p>
    <w:p w14:paraId="0967FB7E">
      <w:pPr>
        <w:spacing w:line="580" w:lineRule="exact"/>
        <w:ind w:firstLine="645"/>
        <w:rPr>
          <w:rFonts w:hint="eastAsia" w:ascii="仿宋_GB2312" w:eastAsia="仿宋_GB2312"/>
          <w:sz w:val="32"/>
          <w:szCs w:val="32"/>
        </w:rPr>
      </w:pPr>
      <w:r>
        <w:rPr>
          <w:rFonts w:hint="eastAsia" w:ascii="仿宋_GB2312" w:eastAsia="仿宋_GB2312"/>
          <w:sz w:val="32"/>
          <w:szCs w:val="32"/>
        </w:rPr>
        <w:t>附录：</w:t>
      </w:r>
    </w:p>
    <w:p w14:paraId="6570AAAB">
      <w:pPr>
        <w:spacing w:line="580" w:lineRule="exact"/>
        <w:ind w:firstLine="645"/>
        <w:rPr>
          <w:rFonts w:hint="eastAsia"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黑龙江</w:t>
      </w:r>
      <w:r>
        <w:rPr>
          <w:rFonts w:hint="eastAsia" w:ascii="仿宋_GB2312" w:eastAsia="仿宋_GB2312"/>
          <w:sz w:val="32"/>
          <w:szCs w:val="32"/>
          <w:lang w:eastAsia="zh-CN"/>
        </w:rPr>
        <w:t>省优质工程（</w:t>
      </w:r>
      <w:r>
        <w:rPr>
          <w:rFonts w:hint="eastAsia" w:ascii="仿宋_GB2312" w:eastAsia="仿宋_GB2312"/>
          <w:sz w:val="32"/>
          <w:szCs w:val="32"/>
          <w:lang w:val="en-US" w:eastAsia="zh-CN"/>
        </w:rPr>
        <w:t>龙江杯</w:t>
      </w:r>
      <w:r>
        <w:rPr>
          <w:rFonts w:hint="eastAsia" w:ascii="仿宋_GB2312" w:eastAsia="仿宋_GB2312"/>
          <w:sz w:val="32"/>
          <w:szCs w:val="32"/>
          <w:lang w:eastAsia="zh-CN"/>
        </w:rPr>
        <w:t>）</w:t>
      </w:r>
      <w:r>
        <w:rPr>
          <w:rFonts w:hint="eastAsia" w:ascii="仿宋_GB2312" w:eastAsia="仿宋_GB2312"/>
          <w:sz w:val="32"/>
          <w:szCs w:val="32"/>
          <w:lang w:val="en-US" w:eastAsia="zh-CN"/>
        </w:rPr>
        <w:t>评价</w:t>
      </w:r>
      <w:r>
        <w:rPr>
          <w:rFonts w:hint="eastAsia" w:ascii="仿宋_GB2312" w:eastAsia="仿宋_GB2312"/>
          <w:sz w:val="32"/>
          <w:szCs w:val="32"/>
        </w:rPr>
        <w:t>范围及规模要求</w:t>
      </w:r>
    </w:p>
    <w:p w14:paraId="511B7C33">
      <w:pPr>
        <w:spacing w:line="580" w:lineRule="exact"/>
        <w:ind w:firstLine="645"/>
        <w:rPr>
          <w:rFonts w:ascii="仿宋_GB2312" w:eastAsia="仿宋_GB2312"/>
          <w:sz w:val="32"/>
          <w:szCs w:val="32"/>
        </w:rPr>
      </w:pPr>
      <w:r>
        <w:rPr>
          <w:rFonts w:hint="eastAsia" w:ascii="仿宋_GB2312" w:eastAsia="仿宋_GB2312"/>
          <w:sz w:val="32"/>
          <w:szCs w:val="32"/>
        </w:rPr>
        <w:t>2.</w:t>
      </w:r>
      <w:r>
        <w:rPr>
          <w:rFonts w:hint="eastAsia" w:ascii="仿宋_GB2312" w:eastAsia="仿宋_GB2312"/>
          <w:sz w:val="32"/>
          <w:szCs w:val="32"/>
          <w:lang w:val="en-US" w:eastAsia="zh-CN"/>
        </w:rPr>
        <w:t>黑龙江</w:t>
      </w:r>
      <w:r>
        <w:rPr>
          <w:rFonts w:hint="eastAsia" w:ascii="仿宋_GB2312" w:eastAsia="仿宋_GB2312"/>
          <w:sz w:val="32"/>
          <w:szCs w:val="32"/>
          <w:lang w:eastAsia="zh-CN"/>
        </w:rPr>
        <w:t>省优质工程（</w:t>
      </w:r>
      <w:r>
        <w:rPr>
          <w:rFonts w:hint="eastAsia" w:ascii="仿宋_GB2312" w:eastAsia="仿宋_GB2312"/>
          <w:sz w:val="32"/>
          <w:szCs w:val="32"/>
          <w:lang w:val="en-US" w:eastAsia="zh-CN"/>
        </w:rPr>
        <w:t>龙江杯</w:t>
      </w:r>
      <w:r>
        <w:rPr>
          <w:rFonts w:hint="eastAsia" w:ascii="仿宋_GB2312" w:eastAsia="仿宋_GB2312"/>
          <w:sz w:val="32"/>
          <w:szCs w:val="32"/>
          <w:lang w:eastAsia="zh-CN"/>
        </w:rPr>
        <w:t>）</w:t>
      </w:r>
      <w:r>
        <w:rPr>
          <w:rFonts w:hint="eastAsia" w:ascii="仿宋_GB2312" w:eastAsia="仿宋_GB2312"/>
          <w:sz w:val="32"/>
          <w:szCs w:val="32"/>
        </w:rPr>
        <w:t>评分规定</w:t>
      </w:r>
    </w:p>
    <w:p w14:paraId="510F379F">
      <w:pPr>
        <w:ind w:firstLine="640" w:firstLineChars="200"/>
        <w:jc w:val="both"/>
        <w:rPr>
          <w:rFonts w:hint="eastAsia"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工程质量安全管理与科技创新加分表</w:t>
      </w:r>
    </w:p>
    <w:p w14:paraId="2658E459">
      <w:pPr>
        <w:rPr>
          <w:rFonts w:hint="eastAsia" w:ascii="黑体" w:hAnsi="黑体" w:eastAsia="黑体" w:cs="黑体"/>
          <w:sz w:val="32"/>
          <w:szCs w:val="32"/>
        </w:rPr>
      </w:pPr>
      <w:r>
        <w:rPr>
          <w:rFonts w:hint="eastAsia" w:ascii="黑体" w:hAnsi="黑体" w:eastAsia="黑体" w:cs="黑体"/>
          <w:sz w:val="32"/>
          <w:szCs w:val="32"/>
        </w:rPr>
        <w:br w:type="page"/>
      </w:r>
    </w:p>
    <w:p w14:paraId="1E226072">
      <w:pPr>
        <w:rPr>
          <w:rFonts w:hint="eastAsia" w:ascii="仿宋" w:hAnsi="仿宋" w:eastAsia="仿宋" w:cs="仿宋"/>
          <w:sz w:val="32"/>
          <w:szCs w:val="32"/>
        </w:rPr>
      </w:pPr>
      <w:r>
        <w:rPr>
          <w:rFonts w:hint="eastAsia" w:ascii="黑体" w:hAnsi="黑体" w:eastAsia="黑体" w:cs="黑体"/>
          <w:sz w:val="32"/>
          <w:szCs w:val="32"/>
        </w:rPr>
        <w:t>附录1</w:t>
      </w:r>
    </w:p>
    <w:p w14:paraId="7DC80652">
      <w:pPr>
        <w:jc w:val="center"/>
        <w:rPr>
          <w:rFonts w:hint="eastAsia" w:ascii="方正公文小标宋" w:hAnsi="方正公文小标宋" w:eastAsia="方正公文小标宋" w:cs="方正公文小标宋"/>
          <w:b w:val="0"/>
          <w:bCs/>
          <w:sz w:val="44"/>
          <w:szCs w:val="44"/>
          <w:lang w:eastAsia="zh-CN"/>
        </w:rPr>
      </w:pPr>
      <w:r>
        <w:rPr>
          <w:rFonts w:hint="eastAsia" w:ascii="方正公文小标宋" w:hAnsi="方正公文小标宋" w:eastAsia="方正公文小标宋" w:cs="方正公文小标宋"/>
          <w:b w:val="0"/>
          <w:bCs/>
          <w:sz w:val="44"/>
          <w:szCs w:val="44"/>
          <w:lang w:val="en-US" w:eastAsia="zh-CN"/>
        </w:rPr>
        <w:t>黑龙江</w:t>
      </w:r>
      <w:r>
        <w:rPr>
          <w:rFonts w:hint="eastAsia" w:ascii="方正公文小标宋" w:hAnsi="方正公文小标宋" w:eastAsia="方正公文小标宋" w:cs="方正公文小标宋"/>
          <w:b w:val="0"/>
          <w:bCs/>
          <w:sz w:val="44"/>
          <w:szCs w:val="44"/>
          <w:lang w:eastAsia="zh-CN"/>
        </w:rPr>
        <w:t>省优质工程（</w:t>
      </w:r>
      <w:r>
        <w:rPr>
          <w:rFonts w:hint="eastAsia" w:ascii="方正公文小标宋" w:hAnsi="方正公文小标宋" w:eastAsia="方正公文小标宋" w:cs="方正公文小标宋"/>
          <w:b w:val="0"/>
          <w:bCs/>
          <w:sz w:val="44"/>
          <w:szCs w:val="44"/>
          <w:lang w:val="en-US" w:eastAsia="zh-CN"/>
        </w:rPr>
        <w:t>龙江杯</w:t>
      </w:r>
      <w:r>
        <w:rPr>
          <w:rFonts w:hint="eastAsia" w:ascii="方正公文小标宋" w:hAnsi="方正公文小标宋" w:eastAsia="方正公文小标宋" w:cs="方正公文小标宋"/>
          <w:b w:val="0"/>
          <w:bCs/>
          <w:sz w:val="44"/>
          <w:szCs w:val="44"/>
          <w:lang w:eastAsia="zh-CN"/>
        </w:rPr>
        <w:t>）</w:t>
      </w:r>
    </w:p>
    <w:p w14:paraId="461D843F">
      <w:pPr>
        <w:jc w:val="center"/>
        <w:rPr>
          <w:rFonts w:hint="eastAsia" w:ascii="方正公文小标宋" w:hAnsi="方正公文小标宋" w:eastAsia="方正公文小标宋" w:cs="方正公文小标宋"/>
          <w:b w:val="0"/>
          <w:bCs/>
          <w:sz w:val="44"/>
          <w:szCs w:val="44"/>
          <w:lang w:eastAsia="zh-CN"/>
        </w:rPr>
      </w:pPr>
      <w:r>
        <w:rPr>
          <w:rFonts w:hint="eastAsia" w:ascii="方正公文小标宋" w:hAnsi="方正公文小标宋" w:eastAsia="方正公文小标宋" w:cs="方正公文小标宋"/>
          <w:b w:val="0"/>
          <w:bCs/>
          <w:sz w:val="44"/>
          <w:szCs w:val="44"/>
          <w:lang w:val="en-US" w:eastAsia="zh-CN"/>
        </w:rPr>
        <w:t>评价</w:t>
      </w:r>
      <w:r>
        <w:rPr>
          <w:rFonts w:hint="eastAsia" w:ascii="方正公文小标宋" w:hAnsi="方正公文小标宋" w:eastAsia="方正公文小标宋" w:cs="方正公文小标宋"/>
          <w:b w:val="0"/>
          <w:bCs/>
          <w:sz w:val="44"/>
          <w:szCs w:val="44"/>
          <w:lang w:eastAsia="zh-CN"/>
        </w:rPr>
        <w:t>范</w:t>
      </w:r>
      <w:r>
        <w:rPr>
          <w:rFonts w:hint="eastAsia" w:ascii="方正公文小标宋" w:hAnsi="方正公文小标宋" w:eastAsia="方正公文小标宋" w:cs="方正公文小标宋"/>
          <w:b w:val="0"/>
          <w:bCs/>
          <w:sz w:val="44"/>
          <w:szCs w:val="44"/>
        </w:rPr>
        <w:t>围及规模要求</w:t>
      </w:r>
      <w:bookmarkStart w:id="0" w:name="_GoBack"/>
      <w:bookmarkEnd w:id="0"/>
    </w:p>
    <w:p w14:paraId="2D5E8A02">
      <w:pPr>
        <w:numPr>
          <w:ilvl w:val="0"/>
          <w:numId w:val="1"/>
        </w:numPr>
        <w:spacing w:line="580" w:lineRule="exact"/>
        <w:rPr>
          <w:rFonts w:hint="eastAsia" w:ascii="仿宋_GB2312" w:eastAsia="仿宋_GB2312"/>
          <w:b/>
          <w:bCs/>
          <w:sz w:val="30"/>
          <w:szCs w:val="30"/>
        </w:rPr>
      </w:pPr>
      <w:r>
        <w:rPr>
          <w:rFonts w:hint="eastAsia" w:ascii="仿宋_GB2312" w:eastAsia="仿宋_GB2312"/>
          <w:b/>
          <w:bCs/>
          <w:sz w:val="30"/>
          <w:szCs w:val="30"/>
          <w:lang w:val="en-US" w:eastAsia="zh-CN"/>
        </w:rPr>
        <w:t>建筑</w:t>
      </w:r>
      <w:r>
        <w:rPr>
          <w:rFonts w:hint="eastAsia" w:ascii="仿宋_GB2312" w:eastAsia="仿宋_GB2312"/>
          <w:b/>
          <w:bCs/>
          <w:sz w:val="30"/>
          <w:szCs w:val="30"/>
        </w:rPr>
        <w:t>工程</w:t>
      </w:r>
    </w:p>
    <w:p w14:paraId="10B7F479">
      <w:pPr>
        <w:numPr>
          <w:ilvl w:val="0"/>
          <w:numId w:val="0"/>
        </w:numPr>
        <w:spacing w:line="580" w:lineRule="exact"/>
        <w:rPr>
          <w:rFonts w:hint="eastAsia" w:ascii="仿宋_GB2312" w:eastAsia="仿宋_GB2312"/>
          <w:b/>
          <w:bCs/>
          <w:sz w:val="24"/>
          <w:szCs w:val="24"/>
        </w:rPr>
      </w:pPr>
      <w:r>
        <w:rPr>
          <w:rFonts w:hint="eastAsia" w:ascii="仿宋_GB2312" w:eastAsia="仿宋_GB2312"/>
          <w:b/>
          <w:bCs/>
          <w:sz w:val="24"/>
          <w:szCs w:val="24"/>
          <w:lang w:val="en-US" w:eastAsia="zh-CN"/>
        </w:rPr>
        <w:t>1.</w:t>
      </w:r>
      <w:r>
        <w:rPr>
          <w:rFonts w:hint="eastAsia" w:ascii="仿宋_GB2312" w:eastAsia="仿宋_GB2312"/>
          <w:b/>
          <w:bCs/>
          <w:sz w:val="24"/>
          <w:szCs w:val="24"/>
        </w:rPr>
        <w:t>住宅工程</w:t>
      </w:r>
    </w:p>
    <w:tbl>
      <w:tblPr>
        <w:tblStyle w:val="13"/>
        <w:tblW w:w="893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66"/>
        <w:gridCol w:w="2467"/>
        <w:gridCol w:w="2155"/>
        <w:gridCol w:w="1942"/>
      </w:tblGrid>
      <w:tr w14:paraId="65836A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trPr>
        <w:tc>
          <w:tcPr>
            <w:tcW w:w="2366" w:type="dxa"/>
            <w:noWrap w:val="0"/>
            <w:vAlign w:val="center"/>
          </w:tcPr>
          <w:p w14:paraId="13B5E350">
            <w:pPr>
              <w:spacing w:line="240" w:lineRule="auto"/>
              <w:jc w:val="center"/>
              <w:rPr>
                <w:rFonts w:hint="eastAsia" w:ascii="仿宋_GB2312" w:hAnsi="Calibri" w:eastAsia="仿宋_GB2312" w:cs="Times New Roman"/>
                <w:b w:val="0"/>
                <w:bCs w:val="0"/>
                <w:color w:val="C00000"/>
                <w:kern w:val="44"/>
                <w:sz w:val="24"/>
                <w:szCs w:val="24"/>
                <w:lang w:val="en-US" w:eastAsia="zh-CN" w:bidi="ar"/>
              </w:rPr>
            </w:pPr>
            <w:r>
              <w:rPr>
                <w:rFonts w:hint="eastAsia" w:ascii="仿宋_GB2312" w:eastAsia="仿宋_GB2312"/>
                <w:b/>
                <w:bCs/>
                <w:sz w:val="24"/>
                <w:szCs w:val="24"/>
              </w:rPr>
              <w:t>行业项目</w:t>
            </w:r>
          </w:p>
        </w:tc>
        <w:tc>
          <w:tcPr>
            <w:tcW w:w="2467" w:type="dxa"/>
            <w:noWrap w:val="0"/>
            <w:vAlign w:val="center"/>
          </w:tcPr>
          <w:p w14:paraId="25472867">
            <w:pPr>
              <w:spacing w:line="240" w:lineRule="auto"/>
              <w:jc w:val="center"/>
              <w:rPr>
                <w:rFonts w:hint="eastAsia" w:ascii="仿宋_GB2312" w:hAnsi="Calibri" w:eastAsia="仿宋_GB2312" w:cs="Times New Roman"/>
                <w:b w:val="0"/>
                <w:bCs w:val="0"/>
                <w:color w:val="C00000"/>
                <w:kern w:val="44"/>
                <w:sz w:val="24"/>
                <w:szCs w:val="24"/>
                <w:lang w:val="en-US" w:eastAsia="zh-CN" w:bidi="ar"/>
              </w:rPr>
            </w:pPr>
            <w:r>
              <w:rPr>
                <w:rFonts w:hint="eastAsia" w:ascii="仿宋_GB2312" w:eastAsia="仿宋_GB2312"/>
                <w:b/>
                <w:bCs/>
                <w:sz w:val="24"/>
                <w:szCs w:val="24"/>
              </w:rPr>
              <w:t>计量单位</w:t>
            </w:r>
          </w:p>
        </w:tc>
        <w:tc>
          <w:tcPr>
            <w:tcW w:w="2155" w:type="dxa"/>
            <w:noWrap w:val="0"/>
            <w:vAlign w:val="center"/>
          </w:tcPr>
          <w:p w14:paraId="33E0BB82">
            <w:pPr>
              <w:spacing w:line="240" w:lineRule="auto"/>
              <w:jc w:val="center"/>
              <w:rPr>
                <w:rFonts w:hint="eastAsia" w:ascii="仿宋_GB2312" w:hAnsi="Calibri" w:eastAsia="仿宋_GB2312" w:cs="Times New Roman"/>
                <w:b w:val="0"/>
                <w:bCs w:val="0"/>
                <w:color w:val="C00000"/>
                <w:kern w:val="44"/>
                <w:sz w:val="24"/>
                <w:szCs w:val="24"/>
                <w:lang w:val="en-US" w:eastAsia="zh-CN" w:bidi="ar"/>
              </w:rPr>
            </w:pPr>
            <w:r>
              <w:rPr>
                <w:rFonts w:hint="eastAsia" w:ascii="仿宋_GB2312" w:eastAsia="仿宋_GB2312"/>
                <w:b/>
                <w:bCs/>
                <w:sz w:val="24"/>
                <w:szCs w:val="24"/>
              </w:rPr>
              <w:t>规模（及以上）</w:t>
            </w:r>
          </w:p>
        </w:tc>
        <w:tc>
          <w:tcPr>
            <w:tcW w:w="1942" w:type="dxa"/>
            <w:noWrap w:val="0"/>
            <w:vAlign w:val="center"/>
          </w:tcPr>
          <w:p w14:paraId="67B41BBA">
            <w:pPr>
              <w:spacing w:line="240" w:lineRule="auto"/>
              <w:jc w:val="center"/>
              <w:rPr>
                <w:rFonts w:hint="default" w:ascii="仿宋_GB2312" w:eastAsia="仿宋_GB2312"/>
                <w:b/>
                <w:bCs/>
                <w:sz w:val="24"/>
                <w:szCs w:val="24"/>
                <w:lang w:val="en-US" w:eastAsia="zh-CN"/>
              </w:rPr>
            </w:pPr>
            <w:r>
              <w:rPr>
                <w:rFonts w:hint="eastAsia" w:ascii="仿宋_GB2312" w:eastAsia="仿宋_GB2312"/>
                <w:b/>
                <w:bCs/>
                <w:sz w:val="24"/>
                <w:szCs w:val="24"/>
              </w:rPr>
              <w:t>备注</w:t>
            </w:r>
          </w:p>
        </w:tc>
      </w:tr>
      <w:tr w14:paraId="1AB6BD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0" w:hRule="atLeast"/>
        </w:trPr>
        <w:tc>
          <w:tcPr>
            <w:tcW w:w="2366" w:type="dxa"/>
            <w:noWrap w:val="0"/>
            <w:vAlign w:val="center"/>
          </w:tcPr>
          <w:p w14:paraId="0CCBA53E">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住宅小区或</w:t>
            </w:r>
          </w:p>
          <w:p w14:paraId="50308473">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住宅组团</w:t>
            </w:r>
          </w:p>
        </w:tc>
        <w:tc>
          <w:tcPr>
            <w:tcW w:w="2467" w:type="dxa"/>
            <w:noWrap w:val="0"/>
            <w:vAlign w:val="center"/>
          </w:tcPr>
          <w:p w14:paraId="0986CDD3">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建筑面积</w:t>
            </w:r>
          </w:p>
          <w:p w14:paraId="2FF85A97">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平方米</w:t>
            </w:r>
          </w:p>
        </w:tc>
        <w:tc>
          <w:tcPr>
            <w:tcW w:w="2155" w:type="dxa"/>
            <w:noWrap w:val="0"/>
            <w:vAlign w:val="center"/>
          </w:tcPr>
          <w:p w14:paraId="43F2EDA3">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30000</w:t>
            </w:r>
          </w:p>
        </w:tc>
        <w:tc>
          <w:tcPr>
            <w:tcW w:w="1942" w:type="dxa"/>
            <w:noWrap w:val="0"/>
            <w:vAlign w:val="top"/>
          </w:tcPr>
          <w:p w14:paraId="2693A4FD">
            <w:pPr>
              <w:spacing w:line="240" w:lineRule="auto"/>
              <w:jc w:val="left"/>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小区完整，且公建、道路、生活设施配套齐全，物业管理优良。</w:t>
            </w:r>
          </w:p>
        </w:tc>
      </w:tr>
      <w:tr w14:paraId="4EC2E2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366" w:type="dxa"/>
            <w:noWrap w:val="0"/>
            <w:vAlign w:val="center"/>
          </w:tcPr>
          <w:p w14:paraId="2C0199B9">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单体住宅</w:t>
            </w:r>
          </w:p>
        </w:tc>
        <w:tc>
          <w:tcPr>
            <w:tcW w:w="2467" w:type="dxa"/>
            <w:noWrap w:val="0"/>
            <w:vAlign w:val="center"/>
          </w:tcPr>
          <w:p w14:paraId="28F59095">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建筑面积</w:t>
            </w:r>
          </w:p>
          <w:p w14:paraId="0B460B40">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平方米</w:t>
            </w:r>
          </w:p>
        </w:tc>
        <w:tc>
          <w:tcPr>
            <w:tcW w:w="2155" w:type="dxa"/>
            <w:noWrap w:val="0"/>
            <w:vAlign w:val="center"/>
          </w:tcPr>
          <w:p w14:paraId="1CCFF8F5">
            <w:pPr>
              <w:spacing w:line="240" w:lineRule="auto"/>
              <w:jc w:val="center"/>
              <w:rPr>
                <w:rFonts w:hint="default"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8000（省会）</w:t>
            </w:r>
          </w:p>
          <w:p w14:paraId="0C783A15">
            <w:pPr>
              <w:spacing w:line="240" w:lineRule="auto"/>
              <w:jc w:val="center"/>
              <w:rPr>
                <w:rFonts w:hint="default"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5000（非省会）</w:t>
            </w:r>
          </w:p>
        </w:tc>
        <w:tc>
          <w:tcPr>
            <w:tcW w:w="1942" w:type="dxa"/>
            <w:noWrap w:val="0"/>
            <w:vAlign w:val="top"/>
          </w:tcPr>
          <w:p w14:paraId="4BB41D36">
            <w:pPr>
              <w:spacing w:line="240" w:lineRule="auto"/>
              <w:jc w:val="left"/>
              <w:rPr>
                <w:rFonts w:hint="default"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同一申报单位在同一施工标段内，申报单体住宅项目数量不得超过2个。</w:t>
            </w:r>
          </w:p>
        </w:tc>
      </w:tr>
    </w:tbl>
    <w:p w14:paraId="2E08486B">
      <w:pPr>
        <w:numPr>
          <w:ilvl w:val="0"/>
          <w:numId w:val="0"/>
        </w:numPr>
        <w:spacing w:line="580" w:lineRule="exact"/>
        <w:rPr>
          <w:rFonts w:hint="eastAsia" w:ascii="仿宋_GB2312" w:hAnsi="Times New Roman" w:eastAsia="仿宋_GB2312" w:cs="Times New Roman"/>
          <w:b/>
          <w:bCs/>
          <w:sz w:val="24"/>
          <w:szCs w:val="24"/>
          <w:lang w:val="en-US" w:eastAsia="zh-CN"/>
        </w:rPr>
      </w:pPr>
      <w:r>
        <w:rPr>
          <w:rFonts w:hint="eastAsia" w:ascii="仿宋_GB2312" w:hAnsi="Times New Roman" w:eastAsia="仿宋_GB2312" w:cs="Times New Roman"/>
          <w:b/>
          <w:bCs/>
          <w:sz w:val="24"/>
          <w:szCs w:val="24"/>
          <w:lang w:val="en-US" w:eastAsia="zh-CN"/>
        </w:rPr>
        <w:t>2.公共建筑工程</w:t>
      </w:r>
    </w:p>
    <w:tbl>
      <w:tblPr>
        <w:tblStyle w:val="13"/>
        <w:tblW w:w="894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66"/>
        <w:gridCol w:w="2478"/>
        <w:gridCol w:w="2167"/>
        <w:gridCol w:w="1931"/>
      </w:tblGrid>
      <w:tr w14:paraId="7EE125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trPr>
        <w:tc>
          <w:tcPr>
            <w:tcW w:w="2366" w:type="dxa"/>
            <w:noWrap w:val="0"/>
            <w:vAlign w:val="center"/>
          </w:tcPr>
          <w:p w14:paraId="49BF46C7">
            <w:pPr>
              <w:spacing w:line="240" w:lineRule="auto"/>
              <w:jc w:val="center"/>
              <w:rPr>
                <w:rFonts w:hint="eastAsia" w:ascii="仿宋_GB2312" w:hAnsi="Calibri" w:eastAsia="仿宋_GB2312" w:cs="Times New Roman"/>
                <w:b w:val="0"/>
                <w:bCs w:val="0"/>
                <w:color w:val="C00000"/>
                <w:kern w:val="44"/>
                <w:sz w:val="24"/>
                <w:szCs w:val="24"/>
                <w:lang w:val="en-US" w:eastAsia="zh-CN" w:bidi="ar"/>
              </w:rPr>
            </w:pPr>
            <w:r>
              <w:rPr>
                <w:rFonts w:hint="eastAsia" w:ascii="仿宋_GB2312" w:eastAsia="仿宋_GB2312"/>
                <w:b/>
                <w:bCs/>
                <w:sz w:val="24"/>
                <w:szCs w:val="24"/>
              </w:rPr>
              <w:t>行业项目</w:t>
            </w:r>
          </w:p>
        </w:tc>
        <w:tc>
          <w:tcPr>
            <w:tcW w:w="2478" w:type="dxa"/>
            <w:noWrap w:val="0"/>
            <w:vAlign w:val="center"/>
          </w:tcPr>
          <w:p w14:paraId="5A3A4891">
            <w:pPr>
              <w:spacing w:line="240" w:lineRule="auto"/>
              <w:jc w:val="center"/>
              <w:rPr>
                <w:rFonts w:hint="eastAsia" w:ascii="仿宋_GB2312" w:hAnsi="Calibri" w:eastAsia="仿宋_GB2312" w:cs="Times New Roman"/>
                <w:b w:val="0"/>
                <w:bCs w:val="0"/>
                <w:color w:val="C00000"/>
                <w:kern w:val="44"/>
                <w:sz w:val="24"/>
                <w:szCs w:val="24"/>
                <w:lang w:val="en-US" w:eastAsia="zh-CN" w:bidi="ar"/>
              </w:rPr>
            </w:pPr>
            <w:r>
              <w:rPr>
                <w:rFonts w:hint="eastAsia" w:ascii="仿宋_GB2312" w:eastAsia="仿宋_GB2312"/>
                <w:b/>
                <w:bCs/>
                <w:sz w:val="24"/>
                <w:szCs w:val="24"/>
              </w:rPr>
              <w:t>计量单位</w:t>
            </w:r>
          </w:p>
        </w:tc>
        <w:tc>
          <w:tcPr>
            <w:tcW w:w="2167" w:type="dxa"/>
            <w:noWrap w:val="0"/>
            <w:vAlign w:val="center"/>
          </w:tcPr>
          <w:p w14:paraId="3A661FC7">
            <w:pPr>
              <w:spacing w:line="240" w:lineRule="auto"/>
              <w:jc w:val="center"/>
              <w:rPr>
                <w:rFonts w:hint="eastAsia" w:ascii="仿宋_GB2312" w:hAnsi="Calibri" w:eastAsia="仿宋_GB2312" w:cs="Times New Roman"/>
                <w:b w:val="0"/>
                <w:bCs w:val="0"/>
                <w:color w:val="C00000"/>
                <w:kern w:val="44"/>
                <w:sz w:val="24"/>
                <w:szCs w:val="24"/>
                <w:lang w:val="en-US" w:eastAsia="zh-CN" w:bidi="ar"/>
              </w:rPr>
            </w:pPr>
            <w:r>
              <w:rPr>
                <w:rFonts w:hint="eastAsia" w:ascii="仿宋_GB2312" w:eastAsia="仿宋_GB2312"/>
                <w:b/>
                <w:bCs/>
                <w:sz w:val="24"/>
                <w:szCs w:val="24"/>
              </w:rPr>
              <w:t>规模（及以上）</w:t>
            </w:r>
          </w:p>
        </w:tc>
        <w:tc>
          <w:tcPr>
            <w:tcW w:w="1931" w:type="dxa"/>
            <w:noWrap w:val="0"/>
            <w:vAlign w:val="center"/>
          </w:tcPr>
          <w:p w14:paraId="6B76C129">
            <w:pPr>
              <w:spacing w:line="240" w:lineRule="auto"/>
              <w:jc w:val="center"/>
              <w:rPr>
                <w:rFonts w:hint="eastAsia" w:ascii="仿宋_GB2312" w:hAnsi="Times New Roman" w:eastAsia="仿宋_GB2312" w:cs="Times New Roman"/>
                <w:b/>
                <w:bCs/>
                <w:kern w:val="2"/>
                <w:sz w:val="24"/>
                <w:szCs w:val="24"/>
                <w:lang w:val="en-US" w:eastAsia="zh-CN" w:bidi="ar-SA"/>
              </w:rPr>
            </w:pPr>
            <w:r>
              <w:rPr>
                <w:rFonts w:hint="eastAsia" w:ascii="仿宋_GB2312" w:eastAsia="仿宋_GB2312"/>
                <w:b/>
                <w:bCs/>
                <w:sz w:val="24"/>
                <w:szCs w:val="24"/>
              </w:rPr>
              <w:t>备注</w:t>
            </w:r>
          </w:p>
        </w:tc>
      </w:tr>
      <w:tr w14:paraId="5E1EF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trPr>
        <w:tc>
          <w:tcPr>
            <w:tcW w:w="2366" w:type="dxa"/>
            <w:noWrap w:val="0"/>
            <w:vAlign w:val="center"/>
          </w:tcPr>
          <w:p w14:paraId="1BFB127B">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体育场</w:t>
            </w:r>
          </w:p>
        </w:tc>
        <w:tc>
          <w:tcPr>
            <w:tcW w:w="2478" w:type="dxa"/>
            <w:noWrap w:val="0"/>
            <w:vAlign w:val="center"/>
          </w:tcPr>
          <w:p w14:paraId="31CA4BB4">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座</w:t>
            </w:r>
          </w:p>
        </w:tc>
        <w:tc>
          <w:tcPr>
            <w:tcW w:w="2167" w:type="dxa"/>
            <w:noWrap w:val="0"/>
            <w:vAlign w:val="center"/>
          </w:tcPr>
          <w:p w14:paraId="7A18E525">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5000</w:t>
            </w:r>
          </w:p>
        </w:tc>
        <w:tc>
          <w:tcPr>
            <w:tcW w:w="1931" w:type="dxa"/>
            <w:noWrap w:val="0"/>
            <w:vAlign w:val="center"/>
          </w:tcPr>
          <w:p w14:paraId="6E28B45B">
            <w:pPr>
              <w:spacing w:line="240" w:lineRule="auto"/>
              <w:jc w:val="both"/>
              <w:rPr>
                <w:rFonts w:hint="eastAsia" w:ascii="仿宋_GB2312" w:hAnsi="Calibri" w:eastAsia="仿宋_GB2312" w:cs="Times New Roman"/>
                <w:b w:val="0"/>
                <w:bCs w:val="0"/>
                <w:color w:val="auto"/>
                <w:kern w:val="44"/>
                <w:sz w:val="24"/>
                <w:szCs w:val="24"/>
                <w:lang w:val="en-US" w:eastAsia="zh-CN" w:bidi="ar"/>
              </w:rPr>
            </w:pPr>
          </w:p>
        </w:tc>
      </w:tr>
      <w:tr w14:paraId="41AFD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trPr>
        <w:tc>
          <w:tcPr>
            <w:tcW w:w="2366" w:type="dxa"/>
            <w:noWrap w:val="0"/>
            <w:vAlign w:val="center"/>
          </w:tcPr>
          <w:p w14:paraId="76EC02C8">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体育馆</w:t>
            </w:r>
          </w:p>
        </w:tc>
        <w:tc>
          <w:tcPr>
            <w:tcW w:w="2478" w:type="dxa"/>
            <w:noWrap w:val="0"/>
            <w:vAlign w:val="center"/>
          </w:tcPr>
          <w:p w14:paraId="47E007C8">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座</w:t>
            </w:r>
          </w:p>
        </w:tc>
        <w:tc>
          <w:tcPr>
            <w:tcW w:w="2167" w:type="dxa"/>
            <w:noWrap w:val="0"/>
            <w:vAlign w:val="center"/>
          </w:tcPr>
          <w:p w14:paraId="59667326">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2000</w:t>
            </w:r>
          </w:p>
        </w:tc>
        <w:tc>
          <w:tcPr>
            <w:tcW w:w="1931" w:type="dxa"/>
            <w:noWrap w:val="0"/>
            <w:vAlign w:val="center"/>
          </w:tcPr>
          <w:p w14:paraId="3A2CD6F0">
            <w:pPr>
              <w:spacing w:line="240" w:lineRule="auto"/>
              <w:jc w:val="both"/>
              <w:rPr>
                <w:rFonts w:hint="eastAsia" w:ascii="仿宋_GB2312" w:hAnsi="Calibri" w:eastAsia="仿宋_GB2312" w:cs="Times New Roman"/>
                <w:b w:val="0"/>
                <w:bCs w:val="0"/>
                <w:color w:val="auto"/>
                <w:kern w:val="44"/>
                <w:sz w:val="24"/>
                <w:szCs w:val="24"/>
                <w:lang w:val="en-US" w:eastAsia="zh-CN" w:bidi="ar"/>
              </w:rPr>
            </w:pPr>
          </w:p>
        </w:tc>
      </w:tr>
      <w:tr w14:paraId="65716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trPr>
        <w:tc>
          <w:tcPr>
            <w:tcW w:w="2366" w:type="dxa"/>
            <w:noWrap w:val="0"/>
            <w:vAlign w:val="center"/>
          </w:tcPr>
          <w:p w14:paraId="58A29F2C">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游泳馆</w:t>
            </w:r>
          </w:p>
        </w:tc>
        <w:tc>
          <w:tcPr>
            <w:tcW w:w="2478" w:type="dxa"/>
            <w:noWrap w:val="0"/>
            <w:vAlign w:val="center"/>
          </w:tcPr>
          <w:p w14:paraId="0D212B41">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座</w:t>
            </w:r>
          </w:p>
        </w:tc>
        <w:tc>
          <w:tcPr>
            <w:tcW w:w="2167" w:type="dxa"/>
            <w:noWrap w:val="0"/>
            <w:vAlign w:val="center"/>
          </w:tcPr>
          <w:p w14:paraId="102E1AF6">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1000</w:t>
            </w:r>
          </w:p>
        </w:tc>
        <w:tc>
          <w:tcPr>
            <w:tcW w:w="1931" w:type="dxa"/>
            <w:noWrap w:val="0"/>
            <w:vAlign w:val="center"/>
          </w:tcPr>
          <w:p w14:paraId="6973A171">
            <w:pPr>
              <w:spacing w:line="240" w:lineRule="auto"/>
              <w:jc w:val="both"/>
              <w:rPr>
                <w:rFonts w:hint="eastAsia" w:ascii="仿宋_GB2312" w:hAnsi="Calibri" w:eastAsia="仿宋_GB2312" w:cs="Times New Roman"/>
                <w:b w:val="0"/>
                <w:bCs w:val="0"/>
                <w:color w:val="auto"/>
                <w:kern w:val="44"/>
                <w:sz w:val="24"/>
                <w:szCs w:val="24"/>
                <w:lang w:val="en-US" w:eastAsia="zh-CN" w:bidi="ar"/>
              </w:rPr>
            </w:pPr>
          </w:p>
        </w:tc>
      </w:tr>
      <w:tr w14:paraId="6C626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trPr>
        <w:tc>
          <w:tcPr>
            <w:tcW w:w="2366" w:type="dxa"/>
            <w:noWrap w:val="0"/>
            <w:vAlign w:val="center"/>
          </w:tcPr>
          <w:p w14:paraId="3DD757B6">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影剧院</w:t>
            </w:r>
          </w:p>
        </w:tc>
        <w:tc>
          <w:tcPr>
            <w:tcW w:w="2478" w:type="dxa"/>
            <w:noWrap w:val="0"/>
            <w:vAlign w:val="center"/>
          </w:tcPr>
          <w:p w14:paraId="4911BED1">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座</w:t>
            </w:r>
          </w:p>
        </w:tc>
        <w:tc>
          <w:tcPr>
            <w:tcW w:w="2167" w:type="dxa"/>
            <w:noWrap w:val="0"/>
            <w:vAlign w:val="center"/>
          </w:tcPr>
          <w:p w14:paraId="2C5A27E6">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1000</w:t>
            </w:r>
          </w:p>
        </w:tc>
        <w:tc>
          <w:tcPr>
            <w:tcW w:w="1931" w:type="dxa"/>
            <w:noWrap w:val="0"/>
            <w:vAlign w:val="center"/>
          </w:tcPr>
          <w:p w14:paraId="319B9EDB">
            <w:pPr>
              <w:spacing w:line="240" w:lineRule="auto"/>
              <w:jc w:val="both"/>
              <w:rPr>
                <w:rFonts w:hint="eastAsia" w:ascii="仿宋_GB2312" w:hAnsi="Calibri" w:eastAsia="仿宋_GB2312" w:cs="Times New Roman"/>
                <w:b w:val="0"/>
                <w:bCs w:val="0"/>
                <w:color w:val="auto"/>
                <w:kern w:val="44"/>
                <w:sz w:val="24"/>
                <w:szCs w:val="24"/>
                <w:lang w:val="en-US" w:eastAsia="zh-CN" w:bidi="ar"/>
              </w:rPr>
            </w:pPr>
          </w:p>
        </w:tc>
      </w:tr>
      <w:tr w14:paraId="013745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trPr>
        <w:tc>
          <w:tcPr>
            <w:tcW w:w="2366" w:type="dxa"/>
            <w:noWrap w:val="0"/>
            <w:vAlign w:val="center"/>
          </w:tcPr>
          <w:p w14:paraId="3D71CFF3">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古建筑修缮、历史遗迹重建</w:t>
            </w:r>
          </w:p>
        </w:tc>
        <w:tc>
          <w:tcPr>
            <w:tcW w:w="2478" w:type="dxa"/>
            <w:noWrap w:val="0"/>
            <w:vAlign w:val="center"/>
          </w:tcPr>
          <w:p w14:paraId="34626A0E">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建筑面积</w:t>
            </w:r>
          </w:p>
          <w:p w14:paraId="6DF7C473">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平方米</w:t>
            </w:r>
          </w:p>
        </w:tc>
        <w:tc>
          <w:tcPr>
            <w:tcW w:w="2167" w:type="dxa"/>
            <w:noWrap w:val="0"/>
            <w:vAlign w:val="center"/>
          </w:tcPr>
          <w:p w14:paraId="73C08E56">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单体 2000 以上，群体 1万以上</w:t>
            </w:r>
          </w:p>
        </w:tc>
        <w:tc>
          <w:tcPr>
            <w:tcW w:w="1931" w:type="dxa"/>
            <w:noWrap w:val="0"/>
            <w:vAlign w:val="center"/>
          </w:tcPr>
          <w:p w14:paraId="7A05A835">
            <w:pPr>
              <w:spacing w:line="240" w:lineRule="auto"/>
              <w:jc w:val="both"/>
              <w:rPr>
                <w:rFonts w:hint="eastAsia" w:ascii="仿宋_GB2312" w:hAnsi="Calibri" w:eastAsia="仿宋_GB2312" w:cs="Times New Roman"/>
                <w:b w:val="0"/>
                <w:bCs w:val="0"/>
                <w:color w:val="auto"/>
                <w:kern w:val="44"/>
                <w:sz w:val="24"/>
                <w:szCs w:val="24"/>
                <w:lang w:val="en-US" w:eastAsia="zh-CN" w:bidi="ar"/>
              </w:rPr>
            </w:pPr>
          </w:p>
        </w:tc>
      </w:tr>
      <w:tr w14:paraId="73D97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6" w:hRule="atLeast"/>
        </w:trPr>
        <w:tc>
          <w:tcPr>
            <w:tcW w:w="2366" w:type="dxa"/>
            <w:noWrap w:val="0"/>
            <w:vAlign w:val="center"/>
          </w:tcPr>
          <w:p w14:paraId="5D35307A">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其他公共建筑</w:t>
            </w:r>
          </w:p>
        </w:tc>
        <w:tc>
          <w:tcPr>
            <w:tcW w:w="2478" w:type="dxa"/>
            <w:noWrap w:val="0"/>
            <w:vAlign w:val="center"/>
          </w:tcPr>
          <w:p w14:paraId="476A3658">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建筑面积</w:t>
            </w:r>
          </w:p>
          <w:p w14:paraId="17515358">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平方米</w:t>
            </w:r>
          </w:p>
        </w:tc>
        <w:tc>
          <w:tcPr>
            <w:tcW w:w="2167" w:type="dxa"/>
            <w:noWrap w:val="0"/>
            <w:vAlign w:val="center"/>
          </w:tcPr>
          <w:p w14:paraId="6CB0C7D6">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单体 8000 以上，群体 1万以上</w:t>
            </w:r>
          </w:p>
        </w:tc>
        <w:tc>
          <w:tcPr>
            <w:tcW w:w="1931" w:type="dxa"/>
            <w:noWrap w:val="0"/>
            <w:vAlign w:val="center"/>
          </w:tcPr>
          <w:p w14:paraId="1B72B18E">
            <w:pPr>
              <w:spacing w:line="240" w:lineRule="auto"/>
              <w:jc w:val="both"/>
              <w:rPr>
                <w:rFonts w:hint="eastAsia" w:ascii="仿宋_GB2312" w:hAnsi="Calibri" w:eastAsia="仿宋_GB2312" w:cs="Times New Roman"/>
                <w:b w:val="0"/>
                <w:bCs w:val="0"/>
                <w:color w:val="auto"/>
                <w:kern w:val="44"/>
                <w:sz w:val="24"/>
                <w:szCs w:val="24"/>
                <w:lang w:val="en-US" w:eastAsia="zh-CN" w:bidi="ar"/>
              </w:rPr>
            </w:pPr>
          </w:p>
        </w:tc>
      </w:tr>
    </w:tbl>
    <w:p w14:paraId="2F724B58">
      <w:pPr>
        <w:numPr>
          <w:ilvl w:val="0"/>
          <w:numId w:val="1"/>
        </w:numPr>
        <w:adjustRightInd w:val="0"/>
        <w:snapToGrid w:val="0"/>
        <w:spacing w:line="600" w:lineRule="exact"/>
        <w:ind w:left="0" w:leftChars="0" w:firstLine="0" w:firstLineChars="0"/>
        <w:rPr>
          <w:rFonts w:hint="eastAsia" w:ascii="仿宋_GB2312" w:eastAsia="仿宋_GB2312"/>
          <w:b/>
          <w:bCs/>
          <w:sz w:val="30"/>
          <w:szCs w:val="30"/>
          <w:lang w:val="en-US" w:eastAsia="zh-CN"/>
        </w:rPr>
      </w:pPr>
      <w:r>
        <w:rPr>
          <w:rFonts w:hint="eastAsia" w:ascii="仿宋_GB2312" w:eastAsia="仿宋_GB2312"/>
          <w:b/>
          <w:bCs/>
          <w:color w:val="auto"/>
          <w:sz w:val="30"/>
          <w:szCs w:val="30"/>
          <w:lang w:val="en-US" w:eastAsia="zh-CN"/>
        </w:rPr>
        <w:t>工业工程</w:t>
      </w:r>
    </w:p>
    <w:p w14:paraId="7D8DEB03">
      <w:pPr>
        <w:widowControl w:val="0"/>
        <w:numPr>
          <w:ilvl w:val="0"/>
          <w:numId w:val="0"/>
        </w:numPr>
        <w:adjustRightInd w:val="0"/>
        <w:snapToGrid w:val="0"/>
        <w:spacing w:line="600" w:lineRule="exact"/>
        <w:jc w:val="both"/>
        <w:rPr>
          <w:rFonts w:hint="default" w:ascii="仿宋_GB2312" w:eastAsia="仿宋_GB2312"/>
          <w:b/>
          <w:bCs/>
          <w:sz w:val="24"/>
          <w:szCs w:val="24"/>
          <w:lang w:val="en-US" w:eastAsia="zh-CN"/>
        </w:rPr>
      </w:pPr>
      <w:r>
        <w:rPr>
          <w:rFonts w:hint="eastAsia" w:ascii="仿宋_GB2312" w:eastAsia="仿宋_GB2312"/>
          <w:b/>
          <w:bCs/>
          <w:sz w:val="24"/>
          <w:szCs w:val="24"/>
          <w:lang w:val="en-US" w:eastAsia="zh-CN"/>
        </w:rPr>
        <w:t>1.冶金工程</w:t>
      </w:r>
    </w:p>
    <w:tbl>
      <w:tblPr>
        <w:tblStyle w:val="13"/>
        <w:tblW w:w="8920" w:type="dxa"/>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37"/>
        <w:gridCol w:w="2522"/>
        <w:gridCol w:w="2178"/>
        <w:gridCol w:w="1883"/>
      </w:tblGrid>
      <w:tr w14:paraId="38587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337" w:type="dxa"/>
            <w:tcBorders>
              <w:left w:val="single" w:color="000000" w:sz="4" w:space="0"/>
            </w:tcBorders>
            <w:noWrap w:val="0"/>
            <w:vAlign w:val="center"/>
          </w:tcPr>
          <w:p w14:paraId="6C0A5C49">
            <w:pPr>
              <w:spacing w:line="240" w:lineRule="auto"/>
              <w:jc w:val="center"/>
              <w:rPr>
                <w:rFonts w:hint="eastAsia" w:ascii="仿宋_GB2312" w:hAnsi="Calibri" w:eastAsia="仿宋_GB2312" w:cs="Times New Roman"/>
                <w:b w:val="0"/>
                <w:bCs w:val="0"/>
                <w:color w:val="C00000"/>
                <w:kern w:val="44"/>
                <w:sz w:val="24"/>
                <w:szCs w:val="24"/>
                <w:lang w:val="en-US" w:eastAsia="zh-CN" w:bidi="ar"/>
              </w:rPr>
            </w:pPr>
            <w:r>
              <w:rPr>
                <w:rFonts w:hint="eastAsia" w:ascii="仿宋_GB2312" w:eastAsia="仿宋_GB2312"/>
                <w:b/>
                <w:bCs/>
                <w:sz w:val="24"/>
                <w:szCs w:val="24"/>
              </w:rPr>
              <w:t>行业项目</w:t>
            </w:r>
          </w:p>
        </w:tc>
        <w:tc>
          <w:tcPr>
            <w:tcW w:w="2522" w:type="dxa"/>
            <w:noWrap w:val="0"/>
            <w:vAlign w:val="center"/>
          </w:tcPr>
          <w:p w14:paraId="08862FF9">
            <w:pPr>
              <w:spacing w:line="240" w:lineRule="auto"/>
              <w:jc w:val="center"/>
              <w:rPr>
                <w:rFonts w:hint="eastAsia" w:ascii="仿宋_GB2312" w:hAnsi="Calibri" w:eastAsia="仿宋_GB2312" w:cs="Times New Roman"/>
                <w:b w:val="0"/>
                <w:bCs w:val="0"/>
                <w:color w:val="C00000"/>
                <w:kern w:val="44"/>
                <w:sz w:val="24"/>
                <w:szCs w:val="24"/>
                <w:lang w:val="en-US" w:eastAsia="zh-CN" w:bidi="ar"/>
              </w:rPr>
            </w:pPr>
            <w:r>
              <w:rPr>
                <w:rFonts w:hint="eastAsia" w:ascii="仿宋_GB2312" w:eastAsia="仿宋_GB2312"/>
                <w:b/>
                <w:bCs/>
                <w:sz w:val="24"/>
                <w:szCs w:val="24"/>
              </w:rPr>
              <w:t>计量单位</w:t>
            </w:r>
          </w:p>
        </w:tc>
        <w:tc>
          <w:tcPr>
            <w:tcW w:w="2178" w:type="dxa"/>
            <w:noWrap w:val="0"/>
            <w:vAlign w:val="center"/>
          </w:tcPr>
          <w:p w14:paraId="59C9A429">
            <w:pPr>
              <w:spacing w:line="240" w:lineRule="auto"/>
              <w:jc w:val="center"/>
              <w:rPr>
                <w:rFonts w:hint="eastAsia" w:ascii="仿宋_GB2312" w:hAnsi="Calibri" w:eastAsia="仿宋_GB2312" w:cs="Times New Roman"/>
                <w:b w:val="0"/>
                <w:bCs w:val="0"/>
                <w:color w:val="C00000"/>
                <w:kern w:val="44"/>
                <w:sz w:val="24"/>
                <w:szCs w:val="24"/>
                <w:lang w:val="en-US" w:eastAsia="zh-CN" w:bidi="ar"/>
              </w:rPr>
            </w:pPr>
            <w:r>
              <w:rPr>
                <w:rFonts w:hint="eastAsia" w:ascii="仿宋_GB2312" w:eastAsia="仿宋_GB2312"/>
                <w:b/>
                <w:bCs/>
                <w:sz w:val="24"/>
                <w:szCs w:val="24"/>
              </w:rPr>
              <w:t>规模（及以上）</w:t>
            </w:r>
          </w:p>
        </w:tc>
        <w:tc>
          <w:tcPr>
            <w:tcW w:w="1883" w:type="dxa"/>
            <w:tcBorders>
              <w:right w:val="single" w:color="000000" w:sz="4" w:space="0"/>
            </w:tcBorders>
            <w:noWrap w:val="0"/>
            <w:vAlign w:val="center"/>
          </w:tcPr>
          <w:p w14:paraId="195FE39E">
            <w:pPr>
              <w:spacing w:line="240" w:lineRule="auto"/>
              <w:jc w:val="center"/>
              <w:rPr>
                <w:rFonts w:hint="eastAsia" w:ascii="仿宋_GB2312" w:hAnsi="Times New Roman" w:eastAsia="仿宋_GB2312" w:cs="Times New Roman"/>
                <w:b/>
                <w:bCs/>
                <w:kern w:val="2"/>
                <w:sz w:val="24"/>
                <w:szCs w:val="24"/>
                <w:lang w:val="en-US" w:eastAsia="zh-CN" w:bidi="ar-SA"/>
              </w:rPr>
            </w:pPr>
            <w:r>
              <w:rPr>
                <w:rFonts w:hint="eastAsia" w:ascii="仿宋_GB2312" w:eastAsia="仿宋_GB2312"/>
                <w:b/>
                <w:bCs/>
                <w:sz w:val="24"/>
                <w:szCs w:val="24"/>
              </w:rPr>
              <w:t>备注</w:t>
            </w:r>
          </w:p>
        </w:tc>
      </w:tr>
      <w:tr w14:paraId="6BEA9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337" w:type="dxa"/>
            <w:tcBorders>
              <w:left w:val="single" w:color="000000" w:sz="4" w:space="0"/>
            </w:tcBorders>
            <w:noWrap w:val="0"/>
            <w:vAlign w:val="center"/>
          </w:tcPr>
          <w:p w14:paraId="5E83113D">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烧结</w:t>
            </w:r>
          </w:p>
        </w:tc>
        <w:tc>
          <w:tcPr>
            <w:tcW w:w="2522" w:type="dxa"/>
            <w:noWrap w:val="0"/>
            <w:vAlign w:val="center"/>
          </w:tcPr>
          <w:p w14:paraId="419F0650">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烧结机面积 平方米</w:t>
            </w:r>
          </w:p>
        </w:tc>
        <w:tc>
          <w:tcPr>
            <w:tcW w:w="2178" w:type="dxa"/>
            <w:noWrap w:val="0"/>
            <w:vAlign w:val="center"/>
          </w:tcPr>
          <w:p w14:paraId="07176F7A">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100 以上</w:t>
            </w:r>
          </w:p>
        </w:tc>
        <w:tc>
          <w:tcPr>
            <w:tcW w:w="1883" w:type="dxa"/>
            <w:tcBorders>
              <w:right w:val="single" w:color="000000" w:sz="4" w:space="0"/>
            </w:tcBorders>
            <w:noWrap w:val="0"/>
            <w:vAlign w:val="top"/>
          </w:tcPr>
          <w:p w14:paraId="4562C00E">
            <w:pPr>
              <w:pStyle w:val="35"/>
              <w:ind w:left="0" w:leftChars="0"/>
              <w:rPr>
                <w:rFonts w:ascii="Times New Roman" w:hAnsi="仿宋" w:eastAsia="仿宋" w:cs="仿宋"/>
                <w:kern w:val="2"/>
                <w:sz w:val="24"/>
                <w:szCs w:val="22"/>
                <w:lang w:val="zh-CN" w:eastAsia="zh-CN" w:bidi="zh-CN"/>
              </w:rPr>
            </w:pPr>
          </w:p>
        </w:tc>
      </w:tr>
      <w:tr w14:paraId="20938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337" w:type="dxa"/>
            <w:tcBorders>
              <w:left w:val="single" w:color="000000" w:sz="4" w:space="0"/>
            </w:tcBorders>
            <w:noWrap w:val="0"/>
            <w:vAlign w:val="center"/>
          </w:tcPr>
          <w:p w14:paraId="4FC16CD5">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焦化</w:t>
            </w:r>
          </w:p>
        </w:tc>
        <w:tc>
          <w:tcPr>
            <w:tcW w:w="2522" w:type="dxa"/>
            <w:noWrap w:val="0"/>
            <w:vAlign w:val="center"/>
          </w:tcPr>
          <w:p w14:paraId="721EEBFC">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碳化室高度</w:t>
            </w:r>
            <w:r>
              <w:rPr>
                <w:rFonts w:hint="eastAsia" w:ascii="仿宋_GB2312" w:hAnsi="Calibri" w:eastAsia="仿宋_GB2312" w:cs="Times New Roman"/>
                <w:b w:val="0"/>
                <w:bCs w:val="0"/>
                <w:color w:val="auto"/>
                <w:kern w:val="44"/>
                <w:sz w:val="24"/>
                <w:szCs w:val="24"/>
                <w:lang w:val="en-US" w:eastAsia="zh-CN" w:bidi="ar"/>
              </w:rPr>
              <w:tab/>
            </w:r>
            <w:r>
              <w:rPr>
                <w:rFonts w:hint="eastAsia" w:ascii="仿宋_GB2312" w:hAnsi="Calibri" w:eastAsia="仿宋_GB2312" w:cs="Times New Roman"/>
                <w:b w:val="0"/>
                <w:bCs w:val="0"/>
                <w:color w:val="auto"/>
                <w:kern w:val="44"/>
                <w:sz w:val="24"/>
                <w:szCs w:val="24"/>
                <w:lang w:val="en-US" w:eastAsia="zh-CN" w:bidi="ar"/>
              </w:rPr>
              <w:t xml:space="preserve">    米</w:t>
            </w:r>
          </w:p>
        </w:tc>
        <w:tc>
          <w:tcPr>
            <w:tcW w:w="2178" w:type="dxa"/>
            <w:noWrap w:val="0"/>
            <w:vAlign w:val="center"/>
          </w:tcPr>
          <w:p w14:paraId="44C212DB">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4以上</w:t>
            </w:r>
          </w:p>
        </w:tc>
        <w:tc>
          <w:tcPr>
            <w:tcW w:w="1883" w:type="dxa"/>
            <w:tcBorders>
              <w:right w:val="single" w:color="000000" w:sz="4" w:space="0"/>
            </w:tcBorders>
            <w:noWrap w:val="0"/>
            <w:vAlign w:val="top"/>
          </w:tcPr>
          <w:p w14:paraId="5879F2C0">
            <w:pPr>
              <w:pStyle w:val="35"/>
              <w:ind w:left="0"/>
              <w:rPr>
                <w:rFonts w:ascii="Times New Roman"/>
                <w:sz w:val="24"/>
              </w:rPr>
            </w:pPr>
          </w:p>
        </w:tc>
      </w:tr>
      <w:tr w14:paraId="2A9A5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337" w:type="dxa"/>
            <w:tcBorders>
              <w:left w:val="single" w:color="000000" w:sz="4" w:space="0"/>
            </w:tcBorders>
            <w:noWrap w:val="0"/>
            <w:vAlign w:val="center"/>
          </w:tcPr>
          <w:p w14:paraId="5CC1E112">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高炉</w:t>
            </w:r>
          </w:p>
        </w:tc>
        <w:tc>
          <w:tcPr>
            <w:tcW w:w="2522" w:type="dxa"/>
            <w:noWrap w:val="0"/>
            <w:vAlign w:val="center"/>
          </w:tcPr>
          <w:p w14:paraId="1037C0F7">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有效容积   立方米</w:t>
            </w:r>
          </w:p>
        </w:tc>
        <w:tc>
          <w:tcPr>
            <w:tcW w:w="2178" w:type="dxa"/>
            <w:noWrap w:val="0"/>
            <w:vAlign w:val="center"/>
          </w:tcPr>
          <w:p w14:paraId="6111A73E">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700 以上</w:t>
            </w:r>
          </w:p>
        </w:tc>
        <w:tc>
          <w:tcPr>
            <w:tcW w:w="1883" w:type="dxa"/>
            <w:tcBorders>
              <w:right w:val="single" w:color="000000" w:sz="4" w:space="0"/>
            </w:tcBorders>
            <w:noWrap w:val="0"/>
            <w:vAlign w:val="top"/>
          </w:tcPr>
          <w:p w14:paraId="1841980E">
            <w:pPr>
              <w:pStyle w:val="35"/>
              <w:ind w:left="0"/>
              <w:rPr>
                <w:rFonts w:ascii="Times New Roman"/>
                <w:sz w:val="24"/>
              </w:rPr>
            </w:pPr>
          </w:p>
        </w:tc>
      </w:tr>
      <w:tr w14:paraId="298DDC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337" w:type="dxa"/>
            <w:tcBorders>
              <w:left w:val="single" w:color="000000" w:sz="4" w:space="0"/>
            </w:tcBorders>
            <w:noWrap w:val="0"/>
            <w:vAlign w:val="center"/>
          </w:tcPr>
          <w:p w14:paraId="72DDC0EF">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转炉</w:t>
            </w:r>
          </w:p>
        </w:tc>
        <w:tc>
          <w:tcPr>
            <w:tcW w:w="2522" w:type="dxa"/>
            <w:noWrap w:val="0"/>
            <w:vAlign w:val="center"/>
          </w:tcPr>
          <w:p w14:paraId="0D9F83A6">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公称容量</w:t>
            </w:r>
            <w:r>
              <w:rPr>
                <w:rFonts w:hint="eastAsia" w:ascii="仿宋_GB2312" w:hAnsi="Calibri" w:eastAsia="仿宋_GB2312" w:cs="Times New Roman"/>
                <w:b w:val="0"/>
                <w:bCs w:val="0"/>
                <w:color w:val="auto"/>
                <w:kern w:val="44"/>
                <w:sz w:val="24"/>
                <w:szCs w:val="24"/>
                <w:lang w:val="en-US" w:eastAsia="zh-CN" w:bidi="ar"/>
              </w:rPr>
              <w:tab/>
            </w:r>
            <w:r>
              <w:rPr>
                <w:rFonts w:hint="eastAsia" w:ascii="仿宋_GB2312" w:hAnsi="Calibri" w:eastAsia="仿宋_GB2312" w:cs="Times New Roman"/>
                <w:b w:val="0"/>
                <w:bCs w:val="0"/>
                <w:color w:val="auto"/>
                <w:kern w:val="44"/>
                <w:sz w:val="24"/>
                <w:szCs w:val="24"/>
                <w:lang w:val="en-US" w:eastAsia="zh-CN" w:bidi="ar"/>
              </w:rPr>
              <w:t>吨</w:t>
            </w:r>
          </w:p>
        </w:tc>
        <w:tc>
          <w:tcPr>
            <w:tcW w:w="2178" w:type="dxa"/>
            <w:noWrap w:val="0"/>
            <w:vAlign w:val="center"/>
          </w:tcPr>
          <w:p w14:paraId="2892740D">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70 以上</w:t>
            </w:r>
          </w:p>
        </w:tc>
        <w:tc>
          <w:tcPr>
            <w:tcW w:w="1883" w:type="dxa"/>
            <w:tcBorders>
              <w:right w:val="single" w:color="000000" w:sz="4" w:space="0"/>
            </w:tcBorders>
            <w:noWrap w:val="0"/>
            <w:vAlign w:val="top"/>
          </w:tcPr>
          <w:p w14:paraId="16077526">
            <w:pPr>
              <w:pStyle w:val="35"/>
              <w:ind w:left="0"/>
              <w:rPr>
                <w:rFonts w:ascii="Times New Roman"/>
                <w:sz w:val="24"/>
              </w:rPr>
            </w:pPr>
          </w:p>
        </w:tc>
      </w:tr>
      <w:tr w14:paraId="01E3D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337" w:type="dxa"/>
            <w:tcBorders>
              <w:left w:val="single" w:color="000000" w:sz="4" w:space="0"/>
            </w:tcBorders>
            <w:noWrap w:val="0"/>
            <w:vAlign w:val="center"/>
          </w:tcPr>
          <w:p w14:paraId="303DF220">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电炉</w:t>
            </w:r>
          </w:p>
        </w:tc>
        <w:tc>
          <w:tcPr>
            <w:tcW w:w="2522" w:type="dxa"/>
            <w:noWrap w:val="0"/>
            <w:vAlign w:val="center"/>
          </w:tcPr>
          <w:p w14:paraId="500B4EDD">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公称容量</w:t>
            </w:r>
            <w:r>
              <w:rPr>
                <w:rFonts w:hint="eastAsia" w:ascii="仿宋_GB2312" w:hAnsi="Calibri" w:eastAsia="仿宋_GB2312" w:cs="Times New Roman"/>
                <w:b w:val="0"/>
                <w:bCs w:val="0"/>
                <w:color w:val="auto"/>
                <w:kern w:val="44"/>
                <w:sz w:val="24"/>
                <w:szCs w:val="24"/>
                <w:lang w:val="en-US" w:eastAsia="zh-CN" w:bidi="ar"/>
              </w:rPr>
              <w:tab/>
            </w:r>
            <w:r>
              <w:rPr>
                <w:rFonts w:hint="eastAsia" w:ascii="仿宋_GB2312" w:hAnsi="Calibri" w:eastAsia="仿宋_GB2312" w:cs="Times New Roman"/>
                <w:b w:val="0"/>
                <w:bCs w:val="0"/>
                <w:color w:val="auto"/>
                <w:kern w:val="44"/>
                <w:sz w:val="24"/>
                <w:szCs w:val="24"/>
                <w:lang w:val="en-US" w:eastAsia="zh-CN" w:bidi="ar"/>
              </w:rPr>
              <w:t>吨</w:t>
            </w:r>
          </w:p>
        </w:tc>
        <w:tc>
          <w:tcPr>
            <w:tcW w:w="2178" w:type="dxa"/>
            <w:noWrap w:val="0"/>
            <w:vAlign w:val="center"/>
          </w:tcPr>
          <w:p w14:paraId="3652FF6A">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50 以上</w:t>
            </w:r>
          </w:p>
        </w:tc>
        <w:tc>
          <w:tcPr>
            <w:tcW w:w="1883" w:type="dxa"/>
            <w:tcBorders>
              <w:right w:val="single" w:color="000000" w:sz="4" w:space="0"/>
            </w:tcBorders>
            <w:noWrap w:val="0"/>
            <w:vAlign w:val="top"/>
          </w:tcPr>
          <w:p w14:paraId="31E524B2">
            <w:pPr>
              <w:pStyle w:val="35"/>
              <w:ind w:left="0"/>
              <w:rPr>
                <w:rFonts w:ascii="Times New Roman"/>
                <w:sz w:val="24"/>
              </w:rPr>
            </w:pPr>
          </w:p>
        </w:tc>
      </w:tr>
      <w:tr w14:paraId="08C808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337" w:type="dxa"/>
            <w:tcBorders>
              <w:left w:val="single" w:color="000000" w:sz="4" w:space="0"/>
            </w:tcBorders>
            <w:noWrap w:val="0"/>
            <w:vAlign w:val="center"/>
          </w:tcPr>
          <w:p w14:paraId="760880B3">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其他工程</w:t>
            </w:r>
          </w:p>
        </w:tc>
        <w:tc>
          <w:tcPr>
            <w:tcW w:w="2522" w:type="dxa"/>
            <w:noWrap w:val="0"/>
            <w:vAlign w:val="center"/>
          </w:tcPr>
          <w:p w14:paraId="532F2930">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投资</w:t>
            </w:r>
            <w:r>
              <w:rPr>
                <w:rFonts w:hint="eastAsia" w:ascii="仿宋_GB2312" w:hAnsi="Calibri" w:eastAsia="仿宋_GB2312" w:cs="Times New Roman"/>
                <w:b w:val="0"/>
                <w:bCs w:val="0"/>
                <w:color w:val="auto"/>
                <w:kern w:val="44"/>
                <w:sz w:val="24"/>
                <w:szCs w:val="24"/>
                <w:lang w:val="en-US" w:eastAsia="zh-CN" w:bidi="ar"/>
              </w:rPr>
              <w:tab/>
            </w:r>
            <w:r>
              <w:rPr>
                <w:rFonts w:hint="eastAsia" w:ascii="仿宋_GB2312" w:hAnsi="Calibri" w:eastAsia="仿宋_GB2312" w:cs="Times New Roman"/>
                <w:b w:val="0"/>
                <w:bCs w:val="0"/>
                <w:color w:val="auto"/>
                <w:kern w:val="44"/>
                <w:sz w:val="24"/>
                <w:szCs w:val="24"/>
                <w:lang w:val="en-US" w:eastAsia="zh-CN" w:bidi="ar"/>
              </w:rPr>
              <w:t>亿元</w:t>
            </w:r>
          </w:p>
        </w:tc>
        <w:tc>
          <w:tcPr>
            <w:tcW w:w="2178" w:type="dxa"/>
            <w:noWrap w:val="0"/>
            <w:vAlign w:val="center"/>
          </w:tcPr>
          <w:p w14:paraId="759A093F">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0.5 以上</w:t>
            </w:r>
          </w:p>
        </w:tc>
        <w:tc>
          <w:tcPr>
            <w:tcW w:w="1883" w:type="dxa"/>
            <w:tcBorders>
              <w:right w:val="single" w:color="000000" w:sz="4" w:space="0"/>
            </w:tcBorders>
            <w:noWrap w:val="0"/>
            <w:vAlign w:val="top"/>
          </w:tcPr>
          <w:p w14:paraId="5A37B093">
            <w:pPr>
              <w:pStyle w:val="35"/>
              <w:ind w:left="0"/>
              <w:rPr>
                <w:rFonts w:ascii="Times New Roman"/>
                <w:sz w:val="24"/>
              </w:rPr>
            </w:pPr>
          </w:p>
        </w:tc>
      </w:tr>
    </w:tbl>
    <w:p w14:paraId="70733182">
      <w:pPr>
        <w:widowControl w:val="0"/>
        <w:numPr>
          <w:ilvl w:val="0"/>
          <w:numId w:val="0"/>
        </w:numPr>
        <w:adjustRightInd w:val="0"/>
        <w:snapToGrid w:val="0"/>
        <w:spacing w:line="600" w:lineRule="exact"/>
        <w:jc w:val="both"/>
        <w:rPr>
          <w:rFonts w:hint="default" w:ascii="仿宋_GB2312" w:hAnsi="Times New Roman" w:eastAsia="仿宋_GB2312" w:cs="Times New Roman"/>
          <w:b/>
          <w:bCs/>
          <w:sz w:val="24"/>
          <w:szCs w:val="24"/>
          <w:lang w:val="en-US" w:eastAsia="zh-CN"/>
        </w:rPr>
      </w:pPr>
      <w:r>
        <w:rPr>
          <w:rFonts w:hint="eastAsia" w:ascii="仿宋_GB2312" w:hAnsi="Times New Roman" w:eastAsia="仿宋_GB2312" w:cs="Times New Roman"/>
          <w:b/>
          <w:bCs/>
          <w:sz w:val="24"/>
          <w:szCs w:val="24"/>
          <w:lang w:val="en-US" w:eastAsia="zh-CN"/>
        </w:rPr>
        <w:t>2.有色金属工程</w:t>
      </w:r>
    </w:p>
    <w:tbl>
      <w:tblPr>
        <w:tblStyle w:val="13"/>
        <w:tblW w:w="8920" w:type="dxa"/>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48"/>
        <w:gridCol w:w="2500"/>
        <w:gridCol w:w="2276"/>
        <w:gridCol w:w="1796"/>
      </w:tblGrid>
      <w:tr w14:paraId="718C2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348" w:type="dxa"/>
            <w:tcBorders>
              <w:left w:val="single" w:color="000000" w:sz="4" w:space="0"/>
            </w:tcBorders>
            <w:noWrap w:val="0"/>
            <w:vAlign w:val="center"/>
          </w:tcPr>
          <w:p w14:paraId="6047BC12">
            <w:pPr>
              <w:spacing w:line="240" w:lineRule="auto"/>
              <w:jc w:val="center"/>
              <w:rPr>
                <w:rFonts w:hint="eastAsia" w:ascii="仿宋_GB2312" w:hAnsi="Calibri" w:eastAsia="仿宋_GB2312" w:cs="Times New Roman"/>
                <w:b w:val="0"/>
                <w:bCs w:val="0"/>
                <w:color w:val="C00000"/>
                <w:kern w:val="44"/>
                <w:sz w:val="24"/>
                <w:szCs w:val="24"/>
                <w:lang w:val="en-US" w:eastAsia="zh-CN" w:bidi="ar"/>
              </w:rPr>
            </w:pPr>
            <w:r>
              <w:rPr>
                <w:rFonts w:hint="eastAsia" w:ascii="仿宋_GB2312" w:eastAsia="仿宋_GB2312"/>
                <w:b/>
                <w:bCs/>
                <w:sz w:val="24"/>
                <w:szCs w:val="24"/>
              </w:rPr>
              <w:t>行业项目</w:t>
            </w:r>
          </w:p>
        </w:tc>
        <w:tc>
          <w:tcPr>
            <w:tcW w:w="2500" w:type="dxa"/>
            <w:noWrap w:val="0"/>
            <w:vAlign w:val="center"/>
          </w:tcPr>
          <w:p w14:paraId="26703F49">
            <w:pPr>
              <w:spacing w:line="240" w:lineRule="auto"/>
              <w:jc w:val="center"/>
              <w:rPr>
                <w:rFonts w:hint="eastAsia" w:ascii="仿宋_GB2312" w:hAnsi="Calibri" w:eastAsia="仿宋_GB2312" w:cs="Times New Roman"/>
                <w:b w:val="0"/>
                <w:bCs w:val="0"/>
                <w:color w:val="C00000"/>
                <w:kern w:val="44"/>
                <w:sz w:val="24"/>
                <w:szCs w:val="24"/>
                <w:lang w:val="en-US" w:eastAsia="zh-CN" w:bidi="ar"/>
              </w:rPr>
            </w:pPr>
            <w:r>
              <w:rPr>
                <w:rFonts w:hint="eastAsia" w:ascii="仿宋_GB2312" w:eastAsia="仿宋_GB2312"/>
                <w:b/>
                <w:bCs/>
                <w:sz w:val="24"/>
                <w:szCs w:val="24"/>
              </w:rPr>
              <w:t>计量单位</w:t>
            </w:r>
          </w:p>
        </w:tc>
        <w:tc>
          <w:tcPr>
            <w:tcW w:w="2276" w:type="dxa"/>
            <w:noWrap w:val="0"/>
            <w:vAlign w:val="center"/>
          </w:tcPr>
          <w:p w14:paraId="78A86854">
            <w:pPr>
              <w:spacing w:line="240" w:lineRule="auto"/>
              <w:jc w:val="center"/>
              <w:rPr>
                <w:rFonts w:hint="eastAsia" w:ascii="仿宋_GB2312" w:hAnsi="Calibri" w:eastAsia="仿宋_GB2312" w:cs="Times New Roman"/>
                <w:b w:val="0"/>
                <w:bCs w:val="0"/>
                <w:color w:val="C00000"/>
                <w:kern w:val="44"/>
                <w:sz w:val="24"/>
                <w:szCs w:val="24"/>
                <w:lang w:val="en-US" w:eastAsia="zh-CN" w:bidi="ar"/>
              </w:rPr>
            </w:pPr>
            <w:r>
              <w:rPr>
                <w:rFonts w:hint="eastAsia" w:ascii="仿宋_GB2312" w:eastAsia="仿宋_GB2312"/>
                <w:b/>
                <w:bCs/>
                <w:sz w:val="24"/>
                <w:szCs w:val="24"/>
              </w:rPr>
              <w:t>规模（及以上）</w:t>
            </w:r>
          </w:p>
        </w:tc>
        <w:tc>
          <w:tcPr>
            <w:tcW w:w="1796" w:type="dxa"/>
            <w:tcBorders>
              <w:right w:val="single" w:color="000000" w:sz="4" w:space="0"/>
            </w:tcBorders>
            <w:noWrap w:val="0"/>
            <w:vAlign w:val="center"/>
          </w:tcPr>
          <w:p w14:paraId="1709F513">
            <w:pPr>
              <w:spacing w:line="240" w:lineRule="auto"/>
              <w:jc w:val="center"/>
              <w:rPr>
                <w:rFonts w:hint="eastAsia" w:ascii="仿宋_GB2312" w:hAnsi="Times New Roman" w:eastAsia="仿宋_GB2312" w:cs="Times New Roman"/>
                <w:b/>
                <w:bCs/>
                <w:kern w:val="2"/>
                <w:sz w:val="24"/>
                <w:szCs w:val="24"/>
                <w:lang w:val="en-US" w:eastAsia="zh-CN" w:bidi="ar-SA"/>
              </w:rPr>
            </w:pPr>
            <w:r>
              <w:rPr>
                <w:rFonts w:hint="eastAsia" w:ascii="仿宋_GB2312" w:eastAsia="仿宋_GB2312"/>
                <w:b/>
                <w:bCs/>
                <w:sz w:val="24"/>
                <w:szCs w:val="24"/>
              </w:rPr>
              <w:t>备注</w:t>
            </w:r>
          </w:p>
        </w:tc>
      </w:tr>
      <w:tr w14:paraId="52C938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348" w:type="dxa"/>
            <w:tcBorders>
              <w:left w:val="single" w:color="000000" w:sz="4" w:space="0"/>
            </w:tcBorders>
            <w:noWrap w:val="0"/>
            <w:vAlign w:val="center"/>
          </w:tcPr>
          <w:p w14:paraId="1705A3B3">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重金属矿山</w:t>
            </w:r>
          </w:p>
        </w:tc>
        <w:tc>
          <w:tcPr>
            <w:tcW w:w="2500" w:type="dxa"/>
            <w:noWrap w:val="0"/>
            <w:vAlign w:val="center"/>
          </w:tcPr>
          <w:p w14:paraId="4231EE97">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年产量</w:t>
            </w:r>
            <w:r>
              <w:rPr>
                <w:rFonts w:hint="eastAsia" w:ascii="仿宋_GB2312" w:hAnsi="Calibri" w:eastAsia="仿宋_GB2312" w:cs="Times New Roman"/>
                <w:b w:val="0"/>
                <w:bCs w:val="0"/>
                <w:color w:val="auto"/>
                <w:kern w:val="44"/>
                <w:sz w:val="24"/>
                <w:szCs w:val="24"/>
                <w:lang w:val="en-US" w:eastAsia="zh-CN" w:bidi="ar"/>
              </w:rPr>
              <w:tab/>
            </w:r>
            <w:r>
              <w:rPr>
                <w:rFonts w:hint="eastAsia" w:ascii="仿宋_GB2312" w:hAnsi="Calibri" w:eastAsia="仿宋_GB2312" w:cs="Times New Roman"/>
                <w:b w:val="0"/>
                <w:bCs w:val="0"/>
                <w:color w:val="auto"/>
                <w:kern w:val="44"/>
                <w:sz w:val="24"/>
                <w:szCs w:val="24"/>
                <w:lang w:val="en-US" w:eastAsia="zh-CN" w:bidi="ar"/>
              </w:rPr>
              <w:t>万吨</w:t>
            </w:r>
          </w:p>
        </w:tc>
        <w:tc>
          <w:tcPr>
            <w:tcW w:w="2276" w:type="dxa"/>
            <w:noWrap w:val="0"/>
            <w:vAlign w:val="center"/>
          </w:tcPr>
          <w:p w14:paraId="42634618">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60以上</w:t>
            </w:r>
          </w:p>
        </w:tc>
        <w:tc>
          <w:tcPr>
            <w:tcW w:w="1796" w:type="dxa"/>
            <w:tcBorders>
              <w:right w:val="single" w:color="000000" w:sz="4" w:space="0"/>
            </w:tcBorders>
            <w:noWrap w:val="0"/>
            <w:vAlign w:val="top"/>
          </w:tcPr>
          <w:p w14:paraId="16A784FF">
            <w:pPr>
              <w:pStyle w:val="35"/>
              <w:ind w:left="0" w:leftChars="0"/>
              <w:rPr>
                <w:rFonts w:ascii="Times New Roman" w:hAnsi="仿宋" w:eastAsia="仿宋" w:cs="仿宋"/>
                <w:kern w:val="2"/>
                <w:sz w:val="24"/>
                <w:szCs w:val="22"/>
                <w:lang w:val="zh-CN" w:eastAsia="zh-CN" w:bidi="zh-CN"/>
              </w:rPr>
            </w:pPr>
          </w:p>
        </w:tc>
      </w:tr>
      <w:tr w14:paraId="7D91E4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348" w:type="dxa"/>
            <w:tcBorders>
              <w:left w:val="single" w:color="000000" w:sz="4" w:space="0"/>
            </w:tcBorders>
            <w:noWrap w:val="0"/>
            <w:vAlign w:val="center"/>
          </w:tcPr>
          <w:p w14:paraId="6C22F5BC">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露天铝土矿山</w:t>
            </w:r>
          </w:p>
        </w:tc>
        <w:tc>
          <w:tcPr>
            <w:tcW w:w="2500" w:type="dxa"/>
            <w:noWrap w:val="0"/>
            <w:vAlign w:val="center"/>
          </w:tcPr>
          <w:p w14:paraId="7ADC5A81">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年产量</w:t>
            </w:r>
            <w:r>
              <w:rPr>
                <w:rFonts w:hint="eastAsia" w:ascii="仿宋_GB2312" w:hAnsi="Calibri" w:eastAsia="仿宋_GB2312" w:cs="Times New Roman"/>
                <w:b w:val="0"/>
                <w:bCs w:val="0"/>
                <w:color w:val="auto"/>
                <w:kern w:val="44"/>
                <w:sz w:val="24"/>
                <w:szCs w:val="24"/>
                <w:lang w:val="en-US" w:eastAsia="zh-CN" w:bidi="ar"/>
              </w:rPr>
              <w:tab/>
            </w:r>
            <w:r>
              <w:rPr>
                <w:rFonts w:hint="eastAsia" w:ascii="仿宋_GB2312" w:hAnsi="Calibri" w:eastAsia="仿宋_GB2312" w:cs="Times New Roman"/>
                <w:b w:val="0"/>
                <w:bCs w:val="0"/>
                <w:color w:val="auto"/>
                <w:kern w:val="44"/>
                <w:sz w:val="24"/>
                <w:szCs w:val="24"/>
                <w:lang w:val="en-US" w:eastAsia="zh-CN" w:bidi="ar"/>
              </w:rPr>
              <w:t>万吨</w:t>
            </w:r>
          </w:p>
        </w:tc>
        <w:tc>
          <w:tcPr>
            <w:tcW w:w="2276" w:type="dxa"/>
            <w:noWrap w:val="0"/>
            <w:vAlign w:val="center"/>
          </w:tcPr>
          <w:p w14:paraId="0852BB9C">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60 以上</w:t>
            </w:r>
          </w:p>
        </w:tc>
        <w:tc>
          <w:tcPr>
            <w:tcW w:w="1796" w:type="dxa"/>
            <w:tcBorders>
              <w:right w:val="single" w:color="000000" w:sz="4" w:space="0"/>
            </w:tcBorders>
            <w:noWrap w:val="0"/>
            <w:vAlign w:val="top"/>
          </w:tcPr>
          <w:p w14:paraId="6C986FF4">
            <w:pPr>
              <w:pStyle w:val="35"/>
              <w:ind w:left="0"/>
              <w:rPr>
                <w:rFonts w:ascii="Times New Roman"/>
                <w:sz w:val="24"/>
              </w:rPr>
            </w:pPr>
          </w:p>
        </w:tc>
      </w:tr>
      <w:tr w14:paraId="008B80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348" w:type="dxa"/>
            <w:tcBorders>
              <w:left w:val="single" w:color="000000" w:sz="4" w:space="0"/>
            </w:tcBorders>
            <w:noWrap w:val="0"/>
            <w:vAlign w:val="center"/>
          </w:tcPr>
          <w:p w14:paraId="0CFA0363">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氧化铝</w:t>
            </w:r>
          </w:p>
        </w:tc>
        <w:tc>
          <w:tcPr>
            <w:tcW w:w="2500" w:type="dxa"/>
            <w:noWrap w:val="0"/>
            <w:vAlign w:val="center"/>
          </w:tcPr>
          <w:p w14:paraId="13DDAF09">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年产量</w:t>
            </w:r>
            <w:r>
              <w:rPr>
                <w:rFonts w:hint="eastAsia" w:ascii="仿宋_GB2312" w:hAnsi="Calibri" w:eastAsia="仿宋_GB2312" w:cs="Times New Roman"/>
                <w:b w:val="0"/>
                <w:bCs w:val="0"/>
                <w:color w:val="auto"/>
                <w:kern w:val="44"/>
                <w:sz w:val="24"/>
                <w:szCs w:val="24"/>
                <w:lang w:val="en-US" w:eastAsia="zh-CN" w:bidi="ar"/>
              </w:rPr>
              <w:tab/>
            </w:r>
            <w:r>
              <w:rPr>
                <w:rFonts w:hint="eastAsia" w:ascii="仿宋_GB2312" w:hAnsi="Calibri" w:eastAsia="仿宋_GB2312" w:cs="Times New Roman"/>
                <w:b w:val="0"/>
                <w:bCs w:val="0"/>
                <w:color w:val="auto"/>
                <w:kern w:val="44"/>
                <w:sz w:val="24"/>
                <w:szCs w:val="24"/>
                <w:lang w:val="en-US" w:eastAsia="zh-CN" w:bidi="ar"/>
              </w:rPr>
              <w:t>万吨</w:t>
            </w:r>
          </w:p>
        </w:tc>
        <w:tc>
          <w:tcPr>
            <w:tcW w:w="2276" w:type="dxa"/>
            <w:noWrap w:val="0"/>
            <w:vAlign w:val="center"/>
          </w:tcPr>
          <w:p w14:paraId="768B8A9A">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50 以上</w:t>
            </w:r>
          </w:p>
        </w:tc>
        <w:tc>
          <w:tcPr>
            <w:tcW w:w="1796" w:type="dxa"/>
            <w:tcBorders>
              <w:right w:val="single" w:color="000000" w:sz="4" w:space="0"/>
            </w:tcBorders>
            <w:noWrap w:val="0"/>
            <w:vAlign w:val="top"/>
          </w:tcPr>
          <w:p w14:paraId="0E87DDF0">
            <w:pPr>
              <w:pStyle w:val="35"/>
              <w:ind w:left="0"/>
              <w:rPr>
                <w:rFonts w:ascii="Times New Roman"/>
                <w:sz w:val="24"/>
              </w:rPr>
            </w:pPr>
          </w:p>
        </w:tc>
      </w:tr>
      <w:tr w14:paraId="7D7062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348" w:type="dxa"/>
            <w:tcBorders>
              <w:left w:val="single" w:color="000000" w:sz="4" w:space="0"/>
            </w:tcBorders>
            <w:noWrap w:val="0"/>
            <w:vAlign w:val="center"/>
          </w:tcPr>
          <w:p w14:paraId="41B04539">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电解铝</w:t>
            </w:r>
          </w:p>
        </w:tc>
        <w:tc>
          <w:tcPr>
            <w:tcW w:w="2500" w:type="dxa"/>
            <w:noWrap w:val="0"/>
            <w:vAlign w:val="center"/>
          </w:tcPr>
          <w:p w14:paraId="5222ADF6">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年产量</w:t>
            </w:r>
            <w:r>
              <w:rPr>
                <w:rFonts w:hint="eastAsia" w:ascii="仿宋_GB2312" w:hAnsi="Calibri" w:eastAsia="仿宋_GB2312" w:cs="Times New Roman"/>
                <w:b w:val="0"/>
                <w:bCs w:val="0"/>
                <w:color w:val="auto"/>
                <w:kern w:val="44"/>
                <w:sz w:val="24"/>
                <w:szCs w:val="24"/>
                <w:lang w:val="en-US" w:eastAsia="zh-CN" w:bidi="ar"/>
              </w:rPr>
              <w:tab/>
            </w:r>
            <w:r>
              <w:rPr>
                <w:rFonts w:hint="eastAsia" w:ascii="仿宋_GB2312" w:hAnsi="Calibri" w:eastAsia="仿宋_GB2312" w:cs="Times New Roman"/>
                <w:b w:val="0"/>
                <w:bCs w:val="0"/>
                <w:color w:val="auto"/>
                <w:kern w:val="44"/>
                <w:sz w:val="24"/>
                <w:szCs w:val="24"/>
                <w:lang w:val="en-US" w:eastAsia="zh-CN" w:bidi="ar"/>
              </w:rPr>
              <w:t>万吨</w:t>
            </w:r>
          </w:p>
        </w:tc>
        <w:tc>
          <w:tcPr>
            <w:tcW w:w="2276" w:type="dxa"/>
            <w:noWrap w:val="0"/>
            <w:vAlign w:val="center"/>
          </w:tcPr>
          <w:p w14:paraId="4FE2041F">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20 以上</w:t>
            </w:r>
          </w:p>
        </w:tc>
        <w:tc>
          <w:tcPr>
            <w:tcW w:w="1796" w:type="dxa"/>
            <w:tcBorders>
              <w:right w:val="single" w:color="000000" w:sz="4" w:space="0"/>
            </w:tcBorders>
            <w:noWrap w:val="0"/>
            <w:vAlign w:val="top"/>
          </w:tcPr>
          <w:p w14:paraId="609E3759">
            <w:pPr>
              <w:pStyle w:val="35"/>
              <w:ind w:left="0"/>
              <w:rPr>
                <w:rFonts w:ascii="Times New Roman"/>
                <w:sz w:val="24"/>
              </w:rPr>
            </w:pPr>
          </w:p>
        </w:tc>
      </w:tr>
      <w:tr w14:paraId="732C6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348" w:type="dxa"/>
            <w:tcBorders>
              <w:left w:val="single" w:color="000000" w:sz="4" w:space="0"/>
            </w:tcBorders>
            <w:noWrap w:val="0"/>
            <w:vAlign w:val="center"/>
          </w:tcPr>
          <w:p w14:paraId="111FCAFD">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综合铝加工</w:t>
            </w:r>
          </w:p>
        </w:tc>
        <w:tc>
          <w:tcPr>
            <w:tcW w:w="2500" w:type="dxa"/>
            <w:noWrap w:val="0"/>
            <w:vAlign w:val="center"/>
          </w:tcPr>
          <w:p w14:paraId="5F77816C">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年产量</w:t>
            </w:r>
            <w:r>
              <w:rPr>
                <w:rFonts w:hint="eastAsia" w:ascii="仿宋_GB2312" w:hAnsi="Calibri" w:eastAsia="仿宋_GB2312" w:cs="Times New Roman"/>
                <w:b w:val="0"/>
                <w:bCs w:val="0"/>
                <w:color w:val="auto"/>
                <w:kern w:val="44"/>
                <w:sz w:val="24"/>
                <w:szCs w:val="24"/>
                <w:lang w:val="en-US" w:eastAsia="zh-CN" w:bidi="ar"/>
              </w:rPr>
              <w:tab/>
            </w:r>
            <w:r>
              <w:rPr>
                <w:rFonts w:hint="eastAsia" w:ascii="仿宋_GB2312" w:hAnsi="Calibri" w:eastAsia="仿宋_GB2312" w:cs="Times New Roman"/>
                <w:b w:val="0"/>
                <w:bCs w:val="0"/>
                <w:color w:val="auto"/>
                <w:kern w:val="44"/>
                <w:sz w:val="24"/>
                <w:szCs w:val="24"/>
                <w:lang w:val="en-US" w:eastAsia="zh-CN" w:bidi="ar"/>
              </w:rPr>
              <w:t>万吨</w:t>
            </w:r>
          </w:p>
        </w:tc>
        <w:tc>
          <w:tcPr>
            <w:tcW w:w="2276" w:type="dxa"/>
            <w:noWrap w:val="0"/>
            <w:vAlign w:val="center"/>
          </w:tcPr>
          <w:p w14:paraId="213DE077">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6 以上</w:t>
            </w:r>
          </w:p>
        </w:tc>
        <w:tc>
          <w:tcPr>
            <w:tcW w:w="1796" w:type="dxa"/>
            <w:tcBorders>
              <w:right w:val="single" w:color="000000" w:sz="4" w:space="0"/>
            </w:tcBorders>
            <w:noWrap w:val="0"/>
            <w:vAlign w:val="top"/>
          </w:tcPr>
          <w:p w14:paraId="479F702A">
            <w:pPr>
              <w:pStyle w:val="35"/>
              <w:ind w:left="0"/>
              <w:rPr>
                <w:rFonts w:ascii="Times New Roman"/>
                <w:sz w:val="24"/>
              </w:rPr>
            </w:pPr>
          </w:p>
        </w:tc>
      </w:tr>
      <w:tr w14:paraId="1A747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348" w:type="dxa"/>
            <w:tcBorders>
              <w:left w:val="single" w:color="000000" w:sz="4" w:space="0"/>
            </w:tcBorders>
            <w:noWrap w:val="0"/>
            <w:vAlign w:val="center"/>
          </w:tcPr>
          <w:p w14:paraId="5B2B970E">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单系列铜熔炼</w:t>
            </w:r>
          </w:p>
        </w:tc>
        <w:tc>
          <w:tcPr>
            <w:tcW w:w="2500" w:type="dxa"/>
            <w:noWrap w:val="0"/>
            <w:vAlign w:val="center"/>
          </w:tcPr>
          <w:p w14:paraId="5047B874">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年产量</w:t>
            </w:r>
            <w:r>
              <w:rPr>
                <w:rFonts w:hint="eastAsia" w:ascii="仿宋_GB2312" w:hAnsi="Calibri" w:eastAsia="仿宋_GB2312" w:cs="Times New Roman"/>
                <w:b w:val="0"/>
                <w:bCs w:val="0"/>
                <w:color w:val="auto"/>
                <w:kern w:val="44"/>
                <w:sz w:val="24"/>
                <w:szCs w:val="24"/>
                <w:lang w:val="en-US" w:eastAsia="zh-CN" w:bidi="ar"/>
              </w:rPr>
              <w:tab/>
            </w:r>
            <w:r>
              <w:rPr>
                <w:rFonts w:hint="eastAsia" w:ascii="仿宋_GB2312" w:hAnsi="Calibri" w:eastAsia="仿宋_GB2312" w:cs="Times New Roman"/>
                <w:b w:val="0"/>
                <w:bCs w:val="0"/>
                <w:color w:val="auto"/>
                <w:kern w:val="44"/>
                <w:sz w:val="24"/>
                <w:szCs w:val="24"/>
                <w:lang w:val="en-US" w:eastAsia="zh-CN" w:bidi="ar"/>
              </w:rPr>
              <w:t>万吨</w:t>
            </w:r>
          </w:p>
        </w:tc>
        <w:tc>
          <w:tcPr>
            <w:tcW w:w="2276" w:type="dxa"/>
            <w:noWrap w:val="0"/>
            <w:vAlign w:val="center"/>
          </w:tcPr>
          <w:p w14:paraId="398AA9FC">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6 以上</w:t>
            </w:r>
          </w:p>
        </w:tc>
        <w:tc>
          <w:tcPr>
            <w:tcW w:w="1796" w:type="dxa"/>
            <w:tcBorders>
              <w:right w:val="single" w:color="000000" w:sz="4" w:space="0"/>
            </w:tcBorders>
            <w:noWrap w:val="0"/>
            <w:vAlign w:val="top"/>
          </w:tcPr>
          <w:p w14:paraId="57E132B2">
            <w:pPr>
              <w:pStyle w:val="35"/>
              <w:ind w:left="0"/>
              <w:rPr>
                <w:rFonts w:ascii="Times New Roman"/>
                <w:sz w:val="24"/>
              </w:rPr>
            </w:pPr>
          </w:p>
        </w:tc>
      </w:tr>
      <w:tr w14:paraId="12D63D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348" w:type="dxa"/>
            <w:tcBorders>
              <w:left w:val="single" w:color="000000" w:sz="4" w:space="0"/>
            </w:tcBorders>
            <w:noWrap w:val="0"/>
            <w:vAlign w:val="center"/>
          </w:tcPr>
          <w:p w14:paraId="57D925F8">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单系列锌冶炼</w:t>
            </w:r>
          </w:p>
        </w:tc>
        <w:tc>
          <w:tcPr>
            <w:tcW w:w="2500" w:type="dxa"/>
            <w:noWrap w:val="0"/>
            <w:vAlign w:val="center"/>
          </w:tcPr>
          <w:p w14:paraId="0A3C88E3">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年产量</w:t>
            </w:r>
            <w:r>
              <w:rPr>
                <w:rFonts w:hint="eastAsia" w:ascii="仿宋_GB2312" w:hAnsi="Calibri" w:eastAsia="仿宋_GB2312" w:cs="Times New Roman"/>
                <w:b w:val="0"/>
                <w:bCs w:val="0"/>
                <w:color w:val="auto"/>
                <w:kern w:val="44"/>
                <w:sz w:val="24"/>
                <w:szCs w:val="24"/>
                <w:lang w:val="en-US" w:eastAsia="zh-CN" w:bidi="ar"/>
              </w:rPr>
              <w:tab/>
            </w:r>
            <w:r>
              <w:rPr>
                <w:rFonts w:hint="eastAsia" w:ascii="仿宋_GB2312" w:hAnsi="Calibri" w:eastAsia="仿宋_GB2312" w:cs="Times New Roman"/>
                <w:b w:val="0"/>
                <w:bCs w:val="0"/>
                <w:color w:val="auto"/>
                <w:kern w:val="44"/>
                <w:sz w:val="24"/>
                <w:szCs w:val="24"/>
                <w:lang w:val="en-US" w:eastAsia="zh-CN" w:bidi="ar"/>
              </w:rPr>
              <w:t>万吨</w:t>
            </w:r>
          </w:p>
        </w:tc>
        <w:tc>
          <w:tcPr>
            <w:tcW w:w="2276" w:type="dxa"/>
            <w:noWrap w:val="0"/>
            <w:vAlign w:val="center"/>
          </w:tcPr>
          <w:p w14:paraId="0F66088F">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6 以上</w:t>
            </w:r>
          </w:p>
        </w:tc>
        <w:tc>
          <w:tcPr>
            <w:tcW w:w="1796" w:type="dxa"/>
            <w:tcBorders>
              <w:right w:val="single" w:color="000000" w:sz="4" w:space="0"/>
            </w:tcBorders>
            <w:noWrap w:val="0"/>
            <w:vAlign w:val="top"/>
          </w:tcPr>
          <w:p w14:paraId="053F0015">
            <w:pPr>
              <w:pStyle w:val="35"/>
              <w:ind w:left="0"/>
              <w:rPr>
                <w:rFonts w:ascii="Times New Roman"/>
                <w:sz w:val="24"/>
              </w:rPr>
            </w:pPr>
          </w:p>
        </w:tc>
      </w:tr>
      <w:tr w14:paraId="7A7CA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348" w:type="dxa"/>
            <w:tcBorders>
              <w:left w:val="single" w:color="000000" w:sz="4" w:space="0"/>
            </w:tcBorders>
            <w:noWrap w:val="0"/>
            <w:vAlign w:val="center"/>
          </w:tcPr>
          <w:p w14:paraId="212B7D4D">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其他工程</w:t>
            </w:r>
          </w:p>
        </w:tc>
        <w:tc>
          <w:tcPr>
            <w:tcW w:w="2500" w:type="dxa"/>
            <w:noWrap w:val="0"/>
            <w:vAlign w:val="center"/>
          </w:tcPr>
          <w:p w14:paraId="104FF037">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投资</w:t>
            </w:r>
            <w:r>
              <w:rPr>
                <w:rFonts w:hint="eastAsia" w:ascii="仿宋_GB2312" w:hAnsi="Calibri" w:eastAsia="仿宋_GB2312" w:cs="Times New Roman"/>
                <w:b w:val="0"/>
                <w:bCs w:val="0"/>
                <w:color w:val="auto"/>
                <w:kern w:val="44"/>
                <w:sz w:val="24"/>
                <w:szCs w:val="24"/>
                <w:lang w:val="en-US" w:eastAsia="zh-CN" w:bidi="ar"/>
              </w:rPr>
              <w:tab/>
            </w:r>
            <w:r>
              <w:rPr>
                <w:rFonts w:hint="eastAsia" w:ascii="仿宋_GB2312" w:hAnsi="Calibri" w:eastAsia="仿宋_GB2312" w:cs="Times New Roman"/>
                <w:b w:val="0"/>
                <w:bCs w:val="0"/>
                <w:color w:val="auto"/>
                <w:kern w:val="44"/>
                <w:sz w:val="24"/>
                <w:szCs w:val="24"/>
                <w:lang w:val="en-US" w:eastAsia="zh-CN" w:bidi="ar"/>
              </w:rPr>
              <w:t>亿元</w:t>
            </w:r>
          </w:p>
        </w:tc>
        <w:tc>
          <w:tcPr>
            <w:tcW w:w="2276" w:type="dxa"/>
            <w:noWrap w:val="0"/>
            <w:vAlign w:val="center"/>
          </w:tcPr>
          <w:p w14:paraId="4D94BEF4">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0.5 以上</w:t>
            </w:r>
          </w:p>
        </w:tc>
        <w:tc>
          <w:tcPr>
            <w:tcW w:w="1796" w:type="dxa"/>
            <w:tcBorders>
              <w:right w:val="single" w:color="000000" w:sz="4" w:space="0"/>
            </w:tcBorders>
            <w:noWrap w:val="0"/>
            <w:vAlign w:val="top"/>
          </w:tcPr>
          <w:p w14:paraId="62E9698C">
            <w:pPr>
              <w:pStyle w:val="35"/>
              <w:ind w:left="0"/>
              <w:rPr>
                <w:rFonts w:ascii="Times New Roman"/>
                <w:sz w:val="24"/>
              </w:rPr>
            </w:pPr>
          </w:p>
        </w:tc>
      </w:tr>
    </w:tbl>
    <w:p w14:paraId="2850DD6E">
      <w:pPr>
        <w:widowControl w:val="0"/>
        <w:numPr>
          <w:ilvl w:val="0"/>
          <w:numId w:val="0"/>
        </w:numPr>
        <w:adjustRightInd w:val="0"/>
        <w:snapToGrid w:val="0"/>
        <w:spacing w:line="600" w:lineRule="exact"/>
        <w:jc w:val="both"/>
        <w:rPr>
          <w:rFonts w:hint="default" w:ascii="仿宋_GB2312" w:hAnsi="Times New Roman" w:eastAsia="仿宋_GB2312" w:cs="Times New Roman"/>
          <w:b/>
          <w:bCs/>
          <w:sz w:val="24"/>
          <w:szCs w:val="24"/>
          <w:lang w:val="en-US" w:eastAsia="zh-CN"/>
        </w:rPr>
      </w:pPr>
      <w:r>
        <w:rPr>
          <w:rFonts w:hint="eastAsia" w:ascii="仿宋_GB2312" w:eastAsia="仿宋_GB2312" w:cs="Times New Roman"/>
          <w:b/>
          <w:bCs/>
          <w:sz w:val="24"/>
          <w:szCs w:val="24"/>
          <w:lang w:val="en-US" w:eastAsia="zh-CN"/>
        </w:rPr>
        <w:t>3.</w:t>
      </w:r>
      <w:r>
        <w:rPr>
          <w:rFonts w:hint="eastAsia" w:ascii="仿宋_GB2312" w:hAnsi="Times New Roman" w:eastAsia="仿宋_GB2312" w:cs="Times New Roman"/>
          <w:b/>
          <w:bCs/>
          <w:sz w:val="24"/>
          <w:szCs w:val="24"/>
          <w:lang w:val="en-US" w:eastAsia="zh-CN"/>
        </w:rPr>
        <w:t>石油、石化工程</w:t>
      </w:r>
    </w:p>
    <w:tbl>
      <w:tblPr>
        <w:tblStyle w:val="13"/>
        <w:tblW w:w="8920" w:type="dxa"/>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59"/>
        <w:gridCol w:w="2489"/>
        <w:gridCol w:w="2276"/>
        <w:gridCol w:w="1796"/>
      </w:tblGrid>
      <w:tr w14:paraId="5BF0A3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2359" w:type="dxa"/>
            <w:tcBorders>
              <w:left w:val="single" w:color="000000" w:sz="4" w:space="0"/>
            </w:tcBorders>
            <w:noWrap w:val="0"/>
            <w:vAlign w:val="center"/>
          </w:tcPr>
          <w:p w14:paraId="29DC4073">
            <w:pPr>
              <w:spacing w:line="240" w:lineRule="auto"/>
              <w:jc w:val="center"/>
              <w:rPr>
                <w:rFonts w:hint="eastAsia" w:ascii="仿宋_GB2312" w:hAnsi="Calibri" w:eastAsia="仿宋_GB2312" w:cs="Times New Roman"/>
                <w:b w:val="0"/>
                <w:bCs w:val="0"/>
                <w:color w:val="C00000"/>
                <w:kern w:val="44"/>
                <w:sz w:val="24"/>
                <w:szCs w:val="24"/>
                <w:lang w:val="en-US" w:eastAsia="zh-CN" w:bidi="ar"/>
              </w:rPr>
            </w:pPr>
            <w:r>
              <w:rPr>
                <w:rFonts w:hint="eastAsia" w:ascii="仿宋_GB2312" w:eastAsia="仿宋_GB2312"/>
                <w:b/>
                <w:bCs/>
                <w:sz w:val="24"/>
                <w:szCs w:val="24"/>
              </w:rPr>
              <w:t>行业项目</w:t>
            </w:r>
          </w:p>
        </w:tc>
        <w:tc>
          <w:tcPr>
            <w:tcW w:w="2489" w:type="dxa"/>
            <w:noWrap w:val="0"/>
            <w:vAlign w:val="center"/>
          </w:tcPr>
          <w:p w14:paraId="188244C7">
            <w:pPr>
              <w:spacing w:line="240" w:lineRule="auto"/>
              <w:jc w:val="center"/>
              <w:rPr>
                <w:rFonts w:hint="eastAsia" w:ascii="仿宋_GB2312" w:hAnsi="Calibri" w:eastAsia="仿宋_GB2312" w:cs="Times New Roman"/>
                <w:b w:val="0"/>
                <w:bCs w:val="0"/>
                <w:color w:val="C00000"/>
                <w:kern w:val="44"/>
                <w:sz w:val="24"/>
                <w:szCs w:val="24"/>
                <w:lang w:val="en-US" w:eastAsia="zh-CN" w:bidi="ar"/>
              </w:rPr>
            </w:pPr>
            <w:r>
              <w:rPr>
                <w:rFonts w:hint="eastAsia" w:ascii="仿宋_GB2312" w:eastAsia="仿宋_GB2312"/>
                <w:b/>
                <w:bCs/>
                <w:sz w:val="24"/>
                <w:szCs w:val="24"/>
              </w:rPr>
              <w:t>计量单位</w:t>
            </w:r>
          </w:p>
        </w:tc>
        <w:tc>
          <w:tcPr>
            <w:tcW w:w="2276" w:type="dxa"/>
            <w:noWrap w:val="0"/>
            <w:vAlign w:val="center"/>
          </w:tcPr>
          <w:p w14:paraId="7738D734">
            <w:pPr>
              <w:spacing w:line="240" w:lineRule="auto"/>
              <w:jc w:val="center"/>
              <w:rPr>
                <w:rFonts w:hint="eastAsia" w:ascii="仿宋_GB2312" w:hAnsi="Calibri" w:eastAsia="仿宋_GB2312" w:cs="Times New Roman"/>
                <w:b w:val="0"/>
                <w:bCs w:val="0"/>
                <w:color w:val="C00000"/>
                <w:kern w:val="44"/>
                <w:sz w:val="24"/>
                <w:szCs w:val="24"/>
                <w:lang w:val="en-US" w:eastAsia="zh-CN" w:bidi="ar"/>
              </w:rPr>
            </w:pPr>
            <w:r>
              <w:rPr>
                <w:rFonts w:hint="eastAsia" w:ascii="仿宋_GB2312" w:eastAsia="仿宋_GB2312"/>
                <w:b/>
                <w:bCs/>
                <w:sz w:val="24"/>
                <w:szCs w:val="24"/>
              </w:rPr>
              <w:t>规模（及以上）</w:t>
            </w:r>
          </w:p>
        </w:tc>
        <w:tc>
          <w:tcPr>
            <w:tcW w:w="1796" w:type="dxa"/>
            <w:tcBorders>
              <w:right w:val="single" w:color="000000" w:sz="4" w:space="0"/>
            </w:tcBorders>
            <w:noWrap w:val="0"/>
            <w:vAlign w:val="center"/>
          </w:tcPr>
          <w:p w14:paraId="7FF4CDD8">
            <w:pPr>
              <w:spacing w:line="240" w:lineRule="auto"/>
              <w:jc w:val="center"/>
              <w:rPr>
                <w:rFonts w:hint="eastAsia" w:ascii="仿宋_GB2312" w:hAnsi="Times New Roman" w:eastAsia="仿宋_GB2312" w:cs="Times New Roman"/>
                <w:b/>
                <w:bCs/>
                <w:kern w:val="2"/>
                <w:sz w:val="24"/>
                <w:szCs w:val="24"/>
                <w:lang w:val="en-US" w:eastAsia="zh-CN" w:bidi="ar-SA"/>
              </w:rPr>
            </w:pPr>
            <w:r>
              <w:rPr>
                <w:rFonts w:hint="eastAsia" w:ascii="仿宋_GB2312" w:eastAsia="仿宋_GB2312"/>
                <w:b/>
                <w:bCs/>
                <w:sz w:val="24"/>
                <w:szCs w:val="24"/>
              </w:rPr>
              <w:t>备注</w:t>
            </w:r>
          </w:p>
        </w:tc>
      </w:tr>
      <w:tr w14:paraId="64779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2359" w:type="dxa"/>
            <w:tcBorders>
              <w:left w:val="single" w:color="000000" w:sz="4" w:space="0"/>
            </w:tcBorders>
            <w:noWrap w:val="0"/>
            <w:vAlign w:val="center"/>
          </w:tcPr>
          <w:p w14:paraId="0A7793BC">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油田开发建设工程</w:t>
            </w:r>
          </w:p>
        </w:tc>
        <w:tc>
          <w:tcPr>
            <w:tcW w:w="2489" w:type="dxa"/>
            <w:noWrap w:val="0"/>
            <w:vAlign w:val="center"/>
          </w:tcPr>
          <w:p w14:paraId="38D67170">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年产量</w:t>
            </w:r>
            <w:r>
              <w:rPr>
                <w:rFonts w:hint="eastAsia" w:ascii="仿宋_GB2312" w:hAnsi="Calibri" w:eastAsia="仿宋_GB2312" w:cs="Times New Roman"/>
                <w:b w:val="0"/>
                <w:bCs w:val="0"/>
                <w:color w:val="auto"/>
                <w:kern w:val="44"/>
                <w:sz w:val="24"/>
                <w:szCs w:val="24"/>
                <w:lang w:val="en-US" w:eastAsia="zh-CN" w:bidi="ar"/>
              </w:rPr>
              <w:tab/>
            </w:r>
            <w:r>
              <w:rPr>
                <w:rFonts w:hint="eastAsia" w:ascii="仿宋_GB2312" w:hAnsi="Calibri" w:eastAsia="仿宋_GB2312" w:cs="Times New Roman"/>
                <w:b w:val="0"/>
                <w:bCs w:val="0"/>
                <w:color w:val="auto"/>
                <w:kern w:val="44"/>
                <w:sz w:val="24"/>
                <w:szCs w:val="24"/>
                <w:lang w:val="en-US" w:eastAsia="zh-CN" w:bidi="ar"/>
              </w:rPr>
              <w:t xml:space="preserve"> 万吨</w:t>
            </w:r>
          </w:p>
        </w:tc>
        <w:tc>
          <w:tcPr>
            <w:tcW w:w="2276" w:type="dxa"/>
            <w:noWrap w:val="0"/>
            <w:vAlign w:val="center"/>
          </w:tcPr>
          <w:p w14:paraId="7FF979A3">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20 以上</w:t>
            </w:r>
          </w:p>
        </w:tc>
        <w:tc>
          <w:tcPr>
            <w:tcW w:w="1796" w:type="dxa"/>
            <w:tcBorders>
              <w:right w:val="single" w:color="000000" w:sz="4" w:space="0"/>
            </w:tcBorders>
            <w:noWrap w:val="0"/>
            <w:vAlign w:val="center"/>
          </w:tcPr>
          <w:p w14:paraId="333FEB89">
            <w:pPr>
              <w:spacing w:line="240" w:lineRule="auto"/>
              <w:jc w:val="center"/>
              <w:rPr>
                <w:rFonts w:hint="eastAsia" w:ascii="仿宋_GB2312" w:hAnsi="Calibri" w:eastAsia="仿宋_GB2312" w:cs="Times New Roman"/>
                <w:b w:val="0"/>
                <w:bCs w:val="0"/>
                <w:color w:val="auto"/>
                <w:kern w:val="44"/>
                <w:sz w:val="24"/>
                <w:szCs w:val="24"/>
                <w:lang w:val="en-US" w:eastAsia="zh-CN" w:bidi="ar"/>
              </w:rPr>
            </w:pPr>
          </w:p>
        </w:tc>
      </w:tr>
      <w:tr w14:paraId="074941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2359" w:type="dxa"/>
            <w:tcBorders>
              <w:left w:val="single" w:color="000000" w:sz="4" w:space="0"/>
            </w:tcBorders>
            <w:noWrap w:val="0"/>
            <w:vAlign w:val="center"/>
          </w:tcPr>
          <w:p w14:paraId="55C2CCC4">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炼油厂配套装置</w:t>
            </w:r>
          </w:p>
        </w:tc>
        <w:tc>
          <w:tcPr>
            <w:tcW w:w="2489" w:type="dxa"/>
            <w:noWrap w:val="0"/>
            <w:vAlign w:val="center"/>
          </w:tcPr>
          <w:p w14:paraId="047E7C14">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年处理量</w:t>
            </w:r>
            <w:r>
              <w:rPr>
                <w:rFonts w:hint="eastAsia" w:ascii="仿宋_GB2312" w:hAnsi="Calibri" w:eastAsia="仿宋_GB2312" w:cs="Times New Roman"/>
                <w:b w:val="0"/>
                <w:bCs w:val="0"/>
                <w:color w:val="auto"/>
                <w:kern w:val="44"/>
                <w:sz w:val="24"/>
                <w:szCs w:val="24"/>
                <w:lang w:val="en-US" w:eastAsia="zh-CN" w:bidi="ar"/>
              </w:rPr>
              <w:tab/>
            </w:r>
            <w:r>
              <w:rPr>
                <w:rFonts w:hint="eastAsia" w:ascii="仿宋_GB2312" w:hAnsi="Calibri" w:eastAsia="仿宋_GB2312" w:cs="Times New Roman"/>
                <w:b w:val="0"/>
                <w:bCs w:val="0"/>
                <w:color w:val="auto"/>
                <w:kern w:val="44"/>
                <w:sz w:val="24"/>
                <w:szCs w:val="24"/>
                <w:lang w:val="en-US" w:eastAsia="zh-CN" w:bidi="ar"/>
              </w:rPr>
              <w:t>万吨</w:t>
            </w:r>
          </w:p>
        </w:tc>
        <w:tc>
          <w:tcPr>
            <w:tcW w:w="2276" w:type="dxa"/>
            <w:noWrap w:val="0"/>
            <w:vAlign w:val="center"/>
          </w:tcPr>
          <w:p w14:paraId="763C00B5">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300 以上</w:t>
            </w:r>
          </w:p>
        </w:tc>
        <w:tc>
          <w:tcPr>
            <w:tcW w:w="1796" w:type="dxa"/>
            <w:tcBorders>
              <w:right w:val="single" w:color="000000" w:sz="4" w:space="0"/>
            </w:tcBorders>
            <w:noWrap w:val="0"/>
            <w:vAlign w:val="center"/>
          </w:tcPr>
          <w:p w14:paraId="71C93999">
            <w:pPr>
              <w:spacing w:line="240" w:lineRule="auto"/>
              <w:jc w:val="center"/>
              <w:rPr>
                <w:rFonts w:hint="eastAsia" w:ascii="仿宋_GB2312" w:hAnsi="Calibri" w:eastAsia="仿宋_GB2312" w:cs="Times New Roman"/>
                <w:b w:val="0"/>
                <w:bCs w:val="0"/>
                <w:color w:val="auto"/>
                <w:kern w:val="44"/>
                <w:sz w:val="24"/>
                <w:szCs w:val="24"/>
                <w:lang w:val="en-US" w:eastAsia="zh-CN" w:bidi="ar"/>
              </w:rPr>
            </w:pPr>
          </w:p>
        </w:tc>
      </w:tr>
      <w:tr w14:paraId="795CE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2359" w:type="dxa"/>
            <w:tcBorders>
              <w:left w:val="single" w:color="000000" w:sz="4" w:space="0"/>
            </w:tcBorders>
            <w:noWrap w:val="0"/>
            <w:vAlign w:val="center"/>
          </w:tcPr>
          <w:p w14:paraId="5E96280C">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气田开发建设工程</w:t>
            </w:r>
          </w:p>
        </w:tc>
        <w:tc>
          <w:tcPr>
            <w:tcW w:w="2489" w:type="dxa"/>
            <w:noWrap w:val="0"/>
            <w:vAlign w:val="center"/>
          </w:tcPr>
          <w:p w14:paraId="37E33270">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年产量</w:t>
            </w:r>
            <w:r>
              <w:rPr>
                <w:rFonts w:hint="eastAsia" w:ascii="仿宋_GB2312" w:hAnsi="Calibri" w:eastAsia="仿宋_GB2312" w:cs="Times New Roman"/>
                <w:b w:val="0"/>
                <w:bCs w:val="0"/>
                <w:color w:val="auto"/>
                <w:kern w:val="44"/>
                <w:sz w:val="24"/>
                <w:szCs w:val="24"/>
                <w:lang w:val="en-US" w:eastAsia="zh-CN" w:bidi="ar"/>
              </w:rPr>
              <w:tab/>
            </w:r>
            <w:r>
              <w:rPr>
                <w:rFonts w:hint="eastAsia" w:ascii="仿宋_GB2312" w:hAnsi="Calibri" w:eastAsia="仿宋_GB2312" w:cs="Times New Roman"/>
                <w:b w:val="0"/>
                <w:bCs w:val="0"/>
                <w:color w:val="auto"/>
                <w:kern w:val="44"/>
                <w:sz w:val="24"/>
                <w:szCs w:val="24"/>
                <w:lang w:val="en-US" w:eastAsia="zh-CN" w:bidi="ar"/>
              </w:rPr>
              <w:t>立方米</w:t>
            </w:r>
          </w:p>
        </w:tc>
        <w:tc>
          <w:tcPr>
            <w:tcW w:w="2276" w:type="dxa"/>
            <w:noWrap w:val="0"/>
            <w:vAlign w:val="center"/>
          </w:tcPr>
          <w:p w14:paraId="2B165E97">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5 亿以上</w:t>
            </w:r>
          </w:p>
        </w:tc>
        <w:tc>
          <w:tcPr>
            <w:tcW w:w="1796" w:type="dxa"/>
            <w:tcBorders>
              <w:right w:val="single" w:color="000000" w:sz="4" w:space="0"/>
            </w:tcBorders>
            <w:noWrap w:val="0"/>
            <w:vAlign w:val="center"/>
          </w:tcPr>
          <w:p w14:paraId="0EC1A078">
            <w:pPr>
              <w:spacing w:line="240" w:lineRule="auto"/>
              <w:jc w:val="center"/>
              <w:rPr>
                <w:rFonts w:hint="eastAsia" w:ascii="仿宋_GB2312" w:hAnsi="Calibri" w:eastAsia="仿宋_GB2312" w:cs="Times New Roman"/>
                <w:b w:val="0"/>
                <w:bCs w:val="0"/>
                <w:color w:val="auto"/>
                <w:kern w:val="44"/>
                <w:sz w:val="24"/>
                <w:szCs w:val="24"/>
                <w:lang w:val="en-US" w:eastAsia="zh-CN" w:bidi="ar"/>
              </w:rPr>
            </w:pPr>
          </w:p>
        </w:tc>
      </w:tr>
      <w:tr w14:paraId="4A9072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2359" w:type="dxa"/>
            <w:tcBorders>
              <w:left w:val="single" w:color="000000" w:sz="4" w:space="0"/>
            </w:tcBorders>
            <w:noWrap w:val="0"/>
            <w:vAlign w:val="center"/>
          </w:tcPr>
          <w:p w14:paraId="5CC0F9B8">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长输油气管道</w:t>
            </w:r>
          </w:p>
        </w:tc>
        <w:tc>
          <w:tcPr>
            <w:tcW w:w="2489" w:type="dxa"/>
            <w:noWrap w:val="0"/>
            <w:vAlign w:val="center"/>
          </w:tcPr>
          <w:p w14:paraId="1B3FA1DF">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长度   公里</w:t>
            </w:r>
          </w:p>
          <w:p w14:paraId="28EE54AC">
            <w:pPr>
              <w:spacing w:line="240" w:lineRule="auto"/>
              <w:jc w:val="center"/>
              <w:rPr>
                <w:rFonts w:hint="default"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管径   毫米</w:t>
            </w:r>
          </w:p>
        </w:tc>
        <w:tc>
          <w:tcPr>
            <w:tcW w:w="2276" w:type="dxa"/>
            <w:noWrap w:val="0"/>
            <w:vAlign w:val="center"/>
          </w:tcPr>
          <w:p w14:paraId="2B895208">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60 以上</w:t>
            </w:r>
          </w:p>
          <w:p w14:paraId="65C85699">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273 以上</w:t>
            </w:r>
          </w:p>
        </w:tc>
        <w:tc>
          <w:tcPr>
            <w:tcW w:w="1796" w:type="dxa"/>
            <w:tcBorders>
              <w:right w:val="single" w:color="000000" w:sz="4" w:space="0"/>
            </w:tcBorders>
            <w:noWrap w:val="0"/>
            <w:vAlign w:val="center"/>
          </w:tcPr>
          <w:p w14:paraId="6108D0EA">
            <w:pPr>
              <w:spacing w:line="240" w:lineRule="auto"/>
              <w:jc w:val="both"/>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设有首末站及中间加压泵站</w:t>
            </w:r>
          </w:p>
        </w:tc>
      </w:tr>
      <w:tr w14:paraId="61A87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2359" w:type="dxa"/>
            <w:tcBorders>
              <w:left w:val="single" w:color="000000" w:sz="4" w:space="0"/>
            </w:tcBorders>
            <w:noWrap w:val="0"/>
            <w:vAlign w:val="center"/>
          </w:tcPr>
          <w:p w14:paraId="135EAABC">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长输油气管道</w:t>
            </w:r>
          </w:p>
        </w:tc>
        <w:tc>
          <w:tcPr>
            <w:tcW w:w="2489" w:type="dxa"/>
            <w:noWrap w:val="0"/>
            <w:vAlign w:val="center"/>
          </w:tcPr>
          <w:p w14:paraId="4279AF74">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长度</w:t>
            </w:r>
            <w:r>
              <w:rPr>
                <w:rFonts w:hint="eastAsia" w:ascii="仿宋_GB2312" w:hAnsi="Calibri" w:eastAsia="仿宋_GB2312" w:cs="Times New Roman"/>
                <w:b w:val="0"/>
                <w:bCs w:val="0"/>
                <w:color w:val="auto"/>
                <w:kern w:val="44"/>
                <w:sz w:val="24"/>
                <w:szCs w:val="24"/>
                <w:lang w:val="en-US" w:eastAsia="zh-CN" w:bidi="ar"/>
              </w:rPr>
              <w:tab/>
            </w:r>
            <w:r>
              <w:rPr>
                <w:rFonts w:hint="eastAsia" w:ascii="仿宋_GB2312" w:hAnsi="Calibri" w:eastAsia="仿宋_GB2312" w:cs="Times New Roman"/>
                <w:b w:val="0"/>
                <w:bCs w:val="0"/>
                <w:color w:val="auto"/>
                <w:kern w:val="44"/>
                <w:sz w:val="24"/>
                <w:szCs w:val="24"/>
                <w:lang w:val="en-US" w:eastAsia="zh-CN" w:bidi="ar"/>
              </w:rPr>
              <w:t>公里</w:t>
            </w:r>
          </w:p>
          <w:p w14:paraId="074920DC">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管径</w:t>
            </w:r>
            <w:r>
              <w:rPr>
                <w:rFonts w:hint="eastAsia" w:ascii="仿宋_GB2312" w:hAnsi="Calibri" w:eastAsia="仿宋_GB2312" w:cs="Times New Roman"/>
                <w:b w:val="0"/>
                <w:bCs w:val="0"/>
                <w:color w:val="auto"/>
                <w:kern w:val="44"/>
                <w:sz w:val="24"/>
                <w:szCs w:val="24"/>
                <w:lang w:val="en-US" w:eastAsia="zh-CN" w:bidi="ar"/>
              </w:rPr>
              <w:tab/>
            </w:r>
            <w:r>
              <w:rPr>
                <w:rFonts w:hint="eastAsia" w:ascii="仿宋_GB2312" w:hAnsi="Calibri" w:eastAsia="仿宋_GB2312" w:cs="Times New Roman"/>
                <w:b w:val="0"/>
                <w:bCs w:val="0"/>
                <w:color w:val="auto"/>
                <w:kern w:val="44"/>
                <w:sz w:val="24"/>
                <w:szCs w:val="24"/>
                <w:lang w:val="en-US" w:eastAsia="zh-CN" w:bidi="ar"/>
              </w:rPr>
              <w:t>毫米</w:t>
            </w:r>
          </w:p>
        </w:tc>
        <w:tc>
          <w:tcPr>
            <w:tcW w:w="2276" w:type="dxa"/>
            <w:noWrap w:val="0"/>
            <w:vAlign w:val="center"/>
          </w:tcPr>
          <w:p w14:paraId="57F0AEB6">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50 以上</w:t>
            </w:r>
          </w:p>
          <w:p w14:paraId="2A5BE422">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813 以上</w:t>
            </w:r>
          </w:p>
        </w:tc>
        <w:tc>
          <w:tcPr>
            <w:tcW w:w="1796" w:type="dxa"/>
            <w:tcBorders>
              <w:right w:val="single" w:color="000000" w:sz="4" w:space="0"/>
            </w:tcBorders>
            <w:noWrap w:val="0"/>
            <w:vAlign w:val="center"/>
          </w:tcPr>
          <w:p w14:paraId="25BE3524">
            <w:pPr>
              <w:spacing w:line="240" w:lineRule="auto"/>
              <w:jc w:val="both"/>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设有首末站及中间加压泵站</w:t>
            </w:r>
          </w:p>
        </w:tc>
      </w:tr>
      <w:tr w14:paraId="11377D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2359" w:type="dxa"/>
            <w:tcBorders>
              <w:left w:val="single" w:color="000000" w:sz="4" w:space="0"/>
            </w:tcBorders>
            <w:noWrap w:val="0"/>
            <w:vAlign w:val="center"/>
          </w:tcPr>
          <w:p w14:paraId="39F5A17A">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乙烯装置</w:t>
            </w:r>
          </w:p>
        </w:tc>
        <w:tc>
          <w:tcPr>
            <w:tcW w:w="2489" w:type="dxa"/>
            <w:noWrap w:val="0"/>
            <w:vAlign w:val="center"/>
          </w:tcPr>
          <w:p w14:paraId="464D961C">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年产量</w:t>
            </w:r>
            <w:r>
              <w:rPr>
                <w:rFonts w:hint="eastAsia" w:ascii="仿宋_GB2312" w:hAnsi="Calibri" w:eastAsia="仿宋_GB2312" w:cs="Times New Roman"/>
                <w:b w:val="0"/>
                <w:bCs w:val="0"/>
                <w:color w:val="auto"/>
                <w:kern w:val="44"/>
                <w:sz w:val="24"/>
                <w:szCs w:val="24"/>
                <w:lang w:val="en-US" w:eastAsia="zh-CN" w:bidi="ar"/>
              </w:rPr>
              <w:tab/>
            </w:r>
            <w:r>
              <w:rPr>
                <w:rFonts w:hint="eastAsia" w:ascii="仿宋_GB2312" w:hAnsi="Calibri" w:eastAsia="仿宋_GB2312" w:cs="Times New Roman"/>
                <w:b w:val="0"/>
                <w:bCs w:val="0"/>
                <w:color w:val="auto"/>
                <w:kern w:val="44"/>
                <w:sz w:val="24"/>
                <w:szCs w:val="24"/>
                <w:lang w:val="en-US" w:eastAsia="zh-CN" w:bidi="ar"/>
              </w:rPr>
              <w:t>万吨</w:t>
            </w:r>
          </w:p>
        </w:tc>
        <w:tc>
          <w:tcPr>
            <w:tcW w:w="2276" w:type="dxa"/>
            <w:noWrap w:val="0"/>
            <w:vAlign w:val="center"/>
          </w:tcPr>
          <w:p w14:paraId="3891A849">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40 以上</w:t>
            </w:r>
          </w:p>
        </w:tc>
        <w:tc>
          <w:tcPr>
            <w:tcW w:w="1796" w:type="dxa"/>
            <w:tcBorders>
              <w:right w:val="single" w:color="000000" w:sz="4" w:space="0"/>
            </w:tcBorders>
            <w:noWrap w:val="0"/>
            <w:vAlign w:val="center"/>
          </w:tcPr>
          <w:p w14:paraId="1AC310B0">
            <w:pPr>
              <w:spacing w:line="240" w:lineRule="auto"/>
              <w:jc w:val="both"/>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配套有裂解、异构化、聚乙烯、聚丙烯等装置</w:t>
            </w:r>
          </w:p>
        </w:tc>
      </w:tr>
      <w:tr w14:paraId="779B40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2359" w:type="dxa"/>
            <w:tcBorders>
              <w:left w:val="single" w:color="000000" w:sz="4" w:space="0"/>
            </w:tcBorders>
            <w:noWrap w:val="0"/>
            <w:vAlign w:val="center"/>
          </w:tcPr>
          <w:p w14:paraId="05176CB9">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其他工程</w:t>
            </w:r>
          </w:p>
        </w:tc>
        <w:tc>
          <w:tcPr>
            <w:tcW w:w="2489" w:type="dxa"/>
            <w:noWrap w:val="0"/>
            <w:vAlign w:val="center"/>
          </w:tcPr>
          <w:p w14:paraId="29E54180">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投资</w:t>
            </w:r>
            <w:r>
              <w:rPr>
                <w:rFonts w:hint="eastAsia" w:ascii="仿宋_GB2312" w:hAnsi="Calibri" w:eastAsia="仿宋_GB2312" w:cs="Times New Roman"/>
                <w:b w:val="0"/>
                <w:bCs w:val="0"/>
                <w:color w:val="auto"/>
                <w:kern w:val="44"/>
                <w:sz w:val="24"/>
                <w:szCs w:val="24"/>
                <w:lang w:val="en-US" w:eastAsia="zh-CN" w:bidi="ar"/>
              </w:rPr>
              <w:tab/>
            </w:r>
            <w:r>
              <w:rPr>
                <w:rFonts w:hint="eastAsia" w:ascii="仿宋_GB2312" w:hAnsi="Calibri" w:eastAsia="仿宋_GB2312" w:cs="Times New Roman"/>
                <w:b w:val="0"/>
                <w:bCs w:val="0"/>
                <w:color w:val="auto"/>
                <w:kern w:val="44"/>
                <w:sz w:val="24"/>
                <w:szCs w:val="24"/>
                <w:lang w:val="en-US" w:eastAsia="zh-CN" w:bidi="ar"/>
              </w:rPr>
              <w:t>亿元</w:t>
            </w:r>
          </w:p>
        </w:tc>
        <w:tc>
          <w:tcPr>
            <w:tcW w:w="2276" w:type="dxa"/>
            <w:noWrap w:val="0"/>
            <w:vAlign w:val="center"/>
          </w:tcPr>
          <w:p w14:paraId="7100A0E3">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0.5 以上</w:t>
            </w:r>
          </w:p>
        </w:tc>
        <w:tc>
          <w:tcPr>
            <w:tcW w:w="1796" w:type="dxa"/>
            <w:tcBorders>
              <w:right w:val="single" w:color="000000" w:sz="4" w:space="0"/>
            </w:tcBorders>
            <w:noWrap w:val="0"/>
            <w:vAlign w:val="center"/>
          </w:tcPr>
          <w:p w14:paraId="74409DC6">
            <w:pPr>
              <w:spacing w:line="240" w:lineRule="auto"/>
              <w:jc w:val="center"/>
              <w:rPr>
                <w:rFonts w:hint="eastAsia" w:ascii="仿宋_GB2312" w:hAnsi="Calibri" w:eastAsia="仿宋_GB2312" w:cs="Times New Roman"/>
                <w:b w:val="0"/>
                <w:bCs w:val="0"/>
                <w:color w:val="auto"/>
                <w:kern w:val="44"/>
                <w:sz w:val="24"/>
                <w:szCs w:val="24"/>
                <w:lang w:val="en-US" w:eastAsia="zh-CN" w:bidi="ar"/>
              </w:rPr>
            </w:pPr>
          </w:p>
        </w:tc>
      </w:tr>
    </w:tbl>
    <w:p w14:paraId="5820E9D8">
      <w:pPr>
        <w:pStyle w:val="36"/>
        <w:numPr>
          <w:ilvl w:val="0"/>
          <w:numId w:val="0"/>
        </w:numPr>
        <w:tabs>
          <w:tab w:val="left" w:pos="827"/>
        </w:tabs>
        <w:spacing w:before="96" w:after="0" w:line="240" w:lineRule="auto"/>
        <w:ind w:right="0" w:rightChars="0"/>
        <w:jc w:val="left"/>
        <w:rPr>
          <w:rFonts w:hint="eastAsia" w:ascii="仿宋_GB2312" w:hAnsi="Times New Roman" w:eastAsia="仿宋_GB2312" w:cs="Times New Roman"/>
          <w:b/>
          <w:bCs/>
          <w:kern w:val="2"/>
          <w:sz w:val="24"/>
          <w:szCs w:val="24"/>
          <w:lang w:val="en-US" w:eastAsia="zh-CN" w:bidi="ar-SA"/>
        </w:rPr>
      </w:pPr>
      <w:r>
        <w:rPr>
          <w:rFonts w:hint="eastAsia" w:ascii="仿宋_GB2312" w:hAnsi="Times New Roman" w:eastAsia="仿宋_GB2312" w:cs="Times New Roman"/>
          <w:b/>
          <w:bCs/>
          <w:kern w:val="2"/>
          <w:sz w:val="24"/>
          <w:szCs w:val="24"/>
          <w:lang w:val="en-US" w:eastAsia="zh-CN" w:bidi="ar-SA"/>
        </w:rPr>
        <w:t>4.化学工程</w:t>
      </w:r>
    </w:p>
    <w:tbl>
      <w:tblPr>
        <w:tblStyle w:val="13"/>
        <w:tblW w:w="8910" w:type="dxa"/>
        <w:tblInd w:w="-1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60"/>
        <w:gridCol w:w="2478"/>
        <w:gridCol w:w="2276"/>
        <w:gridCol w:w="1796"/>
      </w:tblGrid>
      <w:tr w14:paraId="73A8FD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360" w:type="dxa"/>
            <w:tcBorders>
              <w:left w:val="single" w:color="000000" w:sz="4" w:space="0"/>
            </w:tcBorders>
            <w:noWrap w:val="0"/>
            <w:vAlign w:val="center"/>
          </w:tcPr>
          <w:p w14:paraId="13BEE99F">
            <w:pPr>
              <w:spacing w:line="240" w:lineRule="auto"/>
              <w:jc w:val="center"/>
              <w:rPr>
                <w:rFonts w:hint="eastAsia" w:ascii="仿宋_GB2312" w:hAnsi="Calibri" w:eastAsia="仿宋_GB2312" w:cs="Times New Roman"/>
                <w:b w:val="0"/>
                <w:bCs w:val="0"/>
                <w:color w:val="C00000"/>
                <w:kern w:val="44"/>
                <w:sz w:val="24"/>
                <w:szCs w:val="24"/>
                <w:lang w:val="en-US" w:eastAsia="zh-CN" w:bidi="ar"/>
              </w:rPr>
            </w:pPr>
            <w:r>
              <w:rPr>
                <w:rFonts w:hint="eastAsia" w:ascii="仿宋_GB2312" w:eastAsia="仿宋_GB2312"/>
                <w:b/>
                <w:bCs/>
                <w:sz w:val="24"/>
                <w:szCs w:val="24"/>
              </w:rPr>
              <w:t>行业项目</w:t>
            </w:r>
          </w:p>
        </w:tc>
        <w:tc>
          <w:tcPr>
            <w:tcW w:w="2478" w:type="dxa"/>
            <w:noWrap w:val="0"/>
            <w:vAlign w:val="center"/>
          </w:tcPr>
          <w:p w14:paraId="2D7E1484">
            <w:pPr>
              <w:spacing w:line="240" w:lineRule="auto"/>
              <w:jc w:val="center"/>
              <w:rPr>
                <w:rFonts w:hint="eastAsia" w:ascii="仿宋_GB2312" w:hAnsi="Calibri" w:eastAsia="仿宋_GB2312" w:cs="Times New Roman"/>
                <w:b w:val="0"/>
                <w:bCs w:val="0"/>
                <w:color w:val="C00000"/>
                <w:kern w:val="44"/>
                <w:sz w:val="24"/>
                <w:szCs w:val="24"/>
                <w:lang w:val="en-US" w:eastAsia="zh-CN" w:bidi="ar"/>
              </w:rPr>
            </w:pPr>
            <w:r>
              <w:rPr>
                <w:rFonts w:hint="eastAsia" w:ascii="仿宋_GB2312" w:eastAsia="仿宋_GB2312"/>
                <w:b/>
                <w:bCs/>
                <w:sz w:val="24"/>
                <w:szCs w:val="24"/>
              </w:rPr>
              <w:t>计量单位</w:t>
            </w:r>
          </w:p>
        </w:tc>
        <w:tc>
          <w:tcPr>
            <w:tcW w:w="2276" w:type="dxa"/>
            <w:noWrap w:val="0"/>
            <w:vAlign w:val="center"/>
          </w:tcPr>
          <w:p w14:paraId="29FD3DB7">
            <w:pPr>
              <w:spacing w:line="240" w:lineRule="auto"/>
              <w:jc w:val="center"/>
              <w:rPr>
                <w:rFonts w:hint="eastAsia" w:ascii="仿宋_GB2312" w:hAnsi="Calibri" w:eastAsia="仿宋_GB2312" w:cs="Times New Roman"/>
                <w:b w:val="0"/>
                <w:bCs w:val="0"/>
                <w:color w:val="C00000"/>
                <w:kern w:val="44"/>
                <w:sz w:val="24"/>
                <w:szCs w:val="24"/>
                <w:lang w:val="en-US" w:eastAsia="zh-CN" w:bidi="ar"/>
              </w:rPr>
            </w:pPr>
            <w:r>
              <w:rPr>
                <w:rFonts w:hint="eastAsia" w:ascii="仿宋_GB2312" w:eastAsia="仿宋_GB2312"/>
                <w:b/>
                <w:bCs/>
                <w:sz w:val="24"/>
                <w:szCs w:val="24"/>
              </w:rPr>
              <w:t>规模（及以上）</w:t>
            </w:r>
          </w:p>
        </w:tc>
        <w:tc>
          <w:tcPr>
            <w:tcW w:w="1796" w:type="dxa"/>
            <w:tcBorders>
              <w:right w:val="single" w:color="000000" w:sz="4" w:space="0"/>
            </w:tcBorders>
            <w:noWrap w:val="0"/>
            <w:vAlign w:val="center"/>
          </w:tcPr>
          <w:p w14:paraId="2287E515">
            <w:pPr>
              <w:spacing w:line="240" w:lineRule="auto"/>
              <w:jc w:val="center"/>
              <w:rPr>
                <w:rFonts w:hint="eastAsia" w:ascii="仿宋_GB2312" w:hAnsi="Times New Roman" w:eastAsia="仿宋_GB2312" w:cs="Times New Roman"/>
                <w:b/>
                <w:bCs/>
                <w:kern w:val="2"/>
                <w:sz w:val="24"/>
                <w:szCs w:val="24"/>
                <w:lang w:val="en-US" w:eastAsia="zh-CN" w:bidi="ar-SA"/>
              </w:rPr>
            </w:pPr>
            <w:r>
              <w:rPr>
                <w:rFonts w:hint="eastAsia" w:ascii="仿宋_GB2312" w:eastAsia="仿宋_GB2312"/>
                <w:b/>
                <w:bCs/>
                <w:sz w:val="24"/>
                <w:szCs w:val="24"/>
              </w:rPr>
              <w:t>备注</w:t>
            </w:r>
          </w:p>
        </w:tc>
      </w:tr>
      <w:tr w14:paraId="3E5C50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360" w:type="dxa"/>
            <w:tcBorders>
              <w:left w:val="single" w:color="000000" w:sz="4" w:space="0"/>
            </w:tcBorders>
            <w:noWrap w:val="0"/>
            <w:vAlign w:val="center"/>
          </w:tcPr>
          <w:p w14:paraId="118114D8">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尿素</w:t>
            </w:r>
          </w:p>
        </w:tc>
        <w:tc>
          <w:tcPr>
            <w:tcW w:w="2478" w:type="dxa"/>
            <w:noWrap w:val="0"/>
            <w:vAlign w:val="center"/>
          </w:tcPr>
          <w:p w14:paraId="44DF5C5A">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年产量</w:t>
            </w:r>
            <w:r>
              <w:rPr>
                <w:rFonts w:hint="eastAsia" w:ascii="仿宋_GB2312" w:hAnsi="Calibri" w:eastAsia="仿宋_GB2312" w:cs="Times New Roman"/>
                <w:b w:val="0"/>
                <w:bCs w:val="0"/>
                <w:color w:val="auto"/>
                <w:kern w:val="44"/>
                <w:sz w:val="24"/>
                <w:szCs w:val="24"/>
                <w:lang w:val="en-US" w:eastAsia="zh-CN" w:bidi="ar"/>
              </w:rPr>
              <w:tab/>
            </w:r>
            <w:r>
              <w:rPr>
                <w:rFonts w:hint="eastAsia" w:ascii="仿宋_GB2312" w:hAnsi="Calibri" w:eastAsia="仿宋_GB2312" w:cs="Times New Roman"/>
                <w:b w:val="0"/>
                <w:bCs w:val="0"/>
                <w:color w:val="auto"/>
                <w:kern w:val="44"/>
                <w:sz w:val="24"/>
                <w:szCs w:val="24"/>
                <w:lang w:val="en-US" w:eastAsia="zh-CN" w:bidi="ar"/>
              </w:rPr>
              <w:t>万吨</w:t>
            </w:r>
          </w:p>
        </w:tc>
        <w:tc>
          <w:tcPr>
            <w:tcW w:w="2276" w:type="dxa"/>
            <w:noWrap w:val="0"/>
            <w:vAlign w:val="center"/>
          </w:tcPr>
          <w:p w14:paraId="5EE5F110">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30 以上</w:t>
            </w:r>
          </w:p>
        </w:tc>
        <w:tc>
          <w:tcPr>
            <w:tcW w:w="1796" w:type="dxa"/>
            <w:tcBorders>
              <w:right w:val="single" w:color="000000" w:sz="4" w:space="0"/>
            </w:tcBorders>
            <w:noWrap w:val="0"/>
            <w:vAlign w:val="center"/>
          </w:tcPr>
          <w:p w14:paraId="3275C8F7">
            <w:pPr>
              <w:spacing w:line="240" w:lineRule="auto"/>
              <w:jc w:val="center"/>
              <w:rPr>
                <w:rFonts w:hint="eastAsia" w:ascii="仿宋_GB2312" w:hAnsi="Calibri" w:eastAsia="仿宋_GB2312" w:cs="Times New Roman"/>
                <w:b w:val="0"/>
                <w:bCs w:val="0"/>
                <w:color w:val="auto"/>
                <w:kern w:val="44"/>
                <w:sz w:val="24"/>
                <w:szCs w:val="24"/>
                <w:lang w:val="en-US" w:eastAsia="zh-CN" w:bidi="ar"/>
              </w:rPr>
            </w:pPr>
          </w:p>
        </w:tc>
      </w:tr>
      <w:tr w14:paraId="0D8051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360" w:type="dxa"/>
            <w:tcBorders>
              <w:left w:val="single" w:color="000000" w:sz="4" w:space="0"/>
            </w:tcBorders>
            <w:noWrap w:val="0"/>
            <w:vAlign w:val="center"/>
          </w:tcPr>
          <w:p w14:paraId="4E515824">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合成氨</w:t>
            </w:r>
          </w:p>
        </w:tc>
        <w:tc>
          <w:tcPr>
            <w:tcW w:w="2478" w:type="dxa"/>
            <w:noWrap w:val="0"/>
            <w:vAlign w:val="center"/>
          </w:tcPr>
          <w:p w14:paraId="118E4AA3">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年产量</w:t>
            </w:r>
            <w:r>
              <w:rPr>
                <w:rFonts w:hint="eastAsia" w:ascii="仿宋_GB2312" w:hAnsi="Calibri" w:eastAsia="仿宋_GB2312" w:cs="Times New Roman"/>
                <w:b w:val="0"/>
                <w:bCs w:val="0"/>
                <w:color w:val="auto"/>
                <w:kern w:val="44"/>
                <w:sz w:val="24"/>
                <w:szCs w:val="24"/>
                <w:lang w:val="en-US" w:eastAsia="zh-CN" w:bidi="ar"/>
              </w:rPr>
              <w:tab/>
            </w:r>
            <w:r>
              <w:rPr>
                <w:rFonts w:hint="eastAsia" w:ascii="仿宋_GB2312" w:hAnsi="Calibri" w:eastAsia="仿宋_GB2312" w:cs="Times New Roman"/>
                <w:b w:val="0"/>
                <w:bCs w:val="0"/>
                <w:color w:val="auto"/>
                <w:kern w:val="44"/>
                <w:sz w:val="24"/>
                <w:szCs w:val="24"/>
                <w:lang w:val="en-US" w:eastAsia="zh-CN" w:bidi="ar"/>
              </w:rPr>
              <w:t>万吨</w:t>
            </w:r>
          </w:p>
        </w:tc>
        <w:tc>
          <w:tcPr>
            <w:tcW w:w="2276" w:type="dxa"/>
            <w:noWrap w:val="0"/>
            <w:vAlign w:val="center"/>
          </w:tcPr>
          <w:p w14:paraId="450F71E3">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20 以上</w:t>
            </w:r>
          </w:p>
        </w:tc>
        <w:tc>
          <w:tcPr>
            <w:tcW w:w="1796" w:type="dxa"/>
            <w:tcBorders>
              <w:right w:val="single" w:color="000000" w:sz="4" w:space="0"/>
            </w:tcBorders>
            <w:noWrap w:val="0"/>
            <w:vAlign w:val="center"/>
          </w:tcPr>
          <w:p w14:paraId="73ED14AA">
            <w:pPr>
              <w:spacing w:line="240" w:lineRule="auto"/>
              <w:jc w:val="center"/>
              <w:rPr>
                <w:rFonts w:hint="eastAsia" w:ascii="仿宋_GB2312" w:hAnsi="Calibri" w:eastAsia="仿宋_GB2312" w:cs="Times New Roman"/>
                <w:b w:val="0"/>
                <w:bCs w:val="0"/>
                <w:color w:val="auto"/>
                <w:kern w:val="44"/>
                <w:sz w:val="24"/>
                <w:szCs w:val="24"/>
                <w:lang w:val="en-US" w:eastAsia="zh-CN" w:bidi="ar"/>
              </w:rPr>
            </w:pPr>
          </w:p>
        </w:tc>
      </w:tr>
      <w:tr w14:paraId="1F924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360" w:type="dxa"/>
            <w:tcBorders>
              <w:left w:val="single" w:color="000000" w:sz="4" w:space="0"/>
            </w:tcBorders>
            <w:noWrap w:val="0"/>
            <w:vAlign w:val="center"/>
          </w:tcPr>
          <w:p w14:paraId="4D26F27A">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煤制油</w:t>
            </w:r>
          </w:p>
        </w:tc>
        <w:tc>
          <w:tcPr>
            <w:tcW w:w="2478" w:type="dxa"/>
            <w:noWrap w:val="0"/>
            <w:vAlign w:val="center"/>
          </w:tcPr>
          <w:p w14:paraId="73F2BF29">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年产量</w:t>
            </w:r>
            <w:r>
              <w:rPr>
                <w:rFonts w:hint="eastAsia" w:ascii="仿宋_GB2312" w:hAnsi="Calibri" w:eastAsia="仿宋_GB2312" w:cs="Times New Roman"/>
                <w:b w:val="0"/>
                <w:bCs w:val="0"/>
                <w:color w:val="auto"/>
                <w:kern w:val="44"/>
                <w:sz w:val="24"/>
                <w:szCs w:val="24"/>
                <w:lang w:val="en-US" w:eastAsia="zh-CN" w:bidi="ar"/>
              </w:rPr>
              <w:tab/>
            </w:r>
            <w:r>
              <w:rPr>
                <w:rFonts w:hint="eastAsia" w:ascii="仿宋_GB2312" w:hAnsi="Calibri" w:eastAsia="仿宋_GB2312" w:cs="Times New Roman"/>
                <w:b w:val="0"/>
                <w:bCs w:val="0"/>
                <w:color w:val="auto"/>
                <w:kern w:val="44"/>
                <w:sz w:val="24"/>
                <w:szCs w:val="24"/>
                <w:lang w:val="en-US" w:eastAsia="zh-CN" w:bidi="ar"/>
              </w:rPr>
              <w:t>万吨</w:t>
            </w:r>
          </w:p>
        </w:tc>
        <w:tc>
          <w:tcPr>
            <w:tcW w:w="2276" w:type="dxa"/>
            <w:noWrap w:val="0"/>
            <w:vAlign w:val="center"/>
          </w:tcPr>
          <w:p w14:paraId="78BC2E07">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60 以上</w:t>
            </w:r>
          </w:p>
        </w:tc>
        <w:tc>
          <w:tcPr>
            <w:tcW w:w="1796" w:type="dxa"/>
            <w:tcBorders>
              <w:right w:val="single" w:color="000000" w:sz="4" w:space="0"/>
            </w:tcBorders>
            <w:noWrap w:val="0"/>
            <w:vAlign w:val="center"/>
          </w:tcPr>
          <w:p w14:paraId="4EC5A40E">
            <w:pPr>
              <w:spacing w:line="240" w:lineRule="auto"/>
              <w:jc w:val="center"/>
              <w:rPr>
                <w:rFonts w:hint="eastAsia" w:ascii="仿宋_GB2312" w:hAnsi="Calibri" w:eastAsia="仿宋_GB2312" w:cs="Times New Roman"/>
                <w:b w:val="0"/>
                <w:bCs w:val="0"/>
                <w:color w:val="auto"/>
                <w:kern w:val="44"/>
                <w:sz w:val="24"/>
                <w:szCs w:val="24"/>
                <w:lang w:val="en-US" w:eastAsia="zh-CN" w:bidi="ar"/>
              </w:rPr>
            </w:pPr>
          </w:p>
        </w:tc>
      </w:tr>
      <w:tr w14:paraId="7A5EE1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360" w:type="dxa"/>
            <w:tcBorders>
              <w:left w:val="single" w:color="000000" w:sz="4" w:space="0"/>
            </w:tcBorders>
            <w:noWrap w:val="0"/>
            <w:vAlign w:val="center"/>
          </w:tcPr>
          <w:p w14:paraId="23F95DF4">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煤制气</w:t>
            </w:r>
          </w:p>
        </w:tc>
        <w:tc>
          <w:tcPr>
            <w:tcW w:w="2478" w:type="dxa"/>
            <w:noWrap w:val="0"/>
            <w:vAlign w:val="center"/>
          </w:tcPr>
          <w:p w14:paraId="75CDE1D5">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年产量</w:t>
            </w:r>
            <w:r>
              <w:rPr>
                <w:rFonts w:hint="eastAsia" w:ascii="仿宋_GB2312" w:hAnsi="Calibri" w:eastAsia="仿宋_GB2312" w:cs="Times New Roman"/>
                <w:b w:val="0"/>
                <w:bCs w:val="0"/>
                <w:color w:val="auto"/>
                <w:kern w:val="44"/>
                <w:sz w:val="24"/>
                <w:szCs w:val="24"/>
                <w:lang w:val="en-US" w:eastAsia="zh-CN" w:bidi="ar"/>
              </w:rPr>
              <w:tab/>
            </w:r>
            <w:r>
              <w:rPr>
                <w:rFonts w:hint="eastAsia" w:ascii="仿宋_GB2312" w:hAnsi="Calibri" w:eastAsia="仿宋_GB2312" w:cs="Times New Roman"/>
                <w:b w:val="0"/>
                <w:bCs w:val="0"/>
                <w:color w:val="auto"/>
                <w:kern w:val="44"/>
                <w:sz w:val="24"/>
                <w:szCs w:val="24"/>
                <w:lang w:val="en-US" w:eastAsia="zh-CN" w:bidi="ar"/>
              </w:rPr>
              <w:t>亿立方米</w:t>
            </w:r>
          </w:p>
        </w:tc>
        <w:tc>
          <w:tcPr>
            <w:tcW w:w="2276" w:type="dxa"/>
            <w:noWrap w:val="0"/>
            <w:vAlign w:val="center"/>
          </w:tcPr>
          <w:p w14:paraId="2E949CDD">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6以上</w:t>
            </w:r>
          </w:p>
        </w:tc>
        <w:tc>
          <w:tcPr>
            <w:tcW w:w="1796" w:type="dxa"/>
            <w:tcBorders>
              <w:right w:val="single" w:color="000000" w:sz="4" w:space="0"/>
            </w:tcBorders>
            <w:noWrap w:val="0"/>
            <w:vAlign w:val="center"/>
          </w:tcPr>
          <w:p w14:paraId="013A51EF">
            <w:pPr>
              <w:spacing w:line="240" w:lineRule="auto"/>
              <w:jc w:val="center"/>
              <w:rPr>
                <w:rFonts w:hint="eastAsia" w:ascii="仿宋_GB2312" w:hAnsi="Calibri" w:eastAsia="仿宋_GB2312" w:cs="Times New Roman"/>
                <w:b w:val="0"/>
                <w:bCs w:val="0"/>
                <w:color w:val="auto"/>
                <w:kern w:val="44"/>
                <w:sz w:val="24"/>
                <w:szCs w:val="24"/>
                <w:lang w:val="en-US" w:eastAsia="zh-CN" w:bidi="ar"/>
              </w:rPr>
            </w:pPr>
          </w:p>
        </w:tc>
      </w:tr>
      <w:tr w14:paraId="297CBF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360" w:type="dxa"/>
            <w:tcBorders>
              <w:left w:val="single" w:color="000000" w:sz="4" w:space="0"/>
            </w:tcBorders>
            <w:noWrap w:val="0"/>
            <w:vAlign w:val="center"/>
          </w:tcPr>
          <w:p w14:paraId="7DB71FEE">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其他工程</w:t>
            </w:r>
          </w:p>
        </w:tc>
        <w:tc>
          <w:tcPr>
            <w:tcW w:w="2478" w:type="dxa"/>
            <w:noWrap w:val="0"/>
            <w:vAlign w:val="center"/>
          </w:tcPr>
          <w:p w14:paraId="1D8AF916">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投资</w:t>
            </w:r>
            <w:r>
              <w:rPr>
                <w:rFonts w:hint="eastAsia" w:ascii="仿宋_GB2312" w:hAnsi="Calibri" w:eastAsia="仿宋_GB2312" w:cs="Times New Roman"/>
                <w:b w:val="0"/>
                <w:bCs w:val="0"/>
                <w:color w:val="auto"/>
                <w:kern w:val="44"/>
                <w:sz w:val="24"/>
                <w:szCs w:val="24"/>
                <w:lang w:val="en-US" w:eastAsia="zh-CN" w:bidi="ar"/>
              </w:rPr>
              <w:tab/>
            </w:r>
            <w:r>
              <w:rPr>
                <w:rFonts w:hint="eastAsia" w:ascii="仿宋_GB2312" w:hAnsi="Calibri" w:eastAsia="仿宋_GB2312" w:cs="Times New Roman"/>
                <w:b w:val="0"/>
                <w:bCs w:val="0"/>
                <w:color w:val="auto"/>
                <w:kern w:val="44"/>
                <w:sz w:val="24"/>
                <w:szCs w:val="24"/>
                <w:lang w:val="en-US" w:eastAsia="zh-CN" w:bidi="ar"/>
              </w:rPr>
              <w:t>亿元</w:t>
            </w:r>
          </w:p>
        </w:tc>
        <w:tc>
          <w:tcPr>
            <w:tcW w:w="2276" w:type="dxa"/>
            <w:noWrap w:val="0"/>
            <w:vAlign w:val="center"/>
          </w:tcPr>
          <w:p w14:paraId="1BB4EB56">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0.5 以上</w:t>
            </w:r>
          </w:p>
        </w:tc>
        <w:tc>
          <w:tcPr>
            <w:tcW w:w="1796" w:type="dxa"/>
            <w:tcBorders>
              <w:right w:val="single" w:color="000000" w:sz="4" w:space="0"/>
            </w:tcBorders>
            <w:noWrap w:val="0"/>
            <w:vAlign w:val="center"/>
          </w:tcPr>
          <w:p w14:paraId="257B0F6F">
            <w:pPr>
              <w:spacing w:line="240" w:lineRule="auto"/>
              <w:jc w:val="center"/>
              <w:rPr>
                <w:rFonts w:hint="eastAsia" w:ascii="仿宋_GB2312" w:hAnsi="Calibri" w:eastAsia="仿宋_GB2312" w:cs="Times New Roman"/>
                <w:b w:val="0"/>
                <w:bCs w:val="0"/>
                <w:color w:val="auto"/>
                <w:kern w:val="44"/>
                <w:sz w:val="24"/>
                <w:szCs w:val="24"/>
                <w:lang w:val="en-US" w:eastAsia="zh-CN" w:bidi="ar"/>
              </w:rPr>
            </w:pPr>
          </w:p>
        </w:tc>
      </w:tr>
    </w:tbl>
    <w:p w14:paraId="4CC16C77">
      <w:pPr>
        <w:pStyle w:val="36"/>
        <w:numPr>
          <w:ilvl w:val="0"/>
          <w:numId w:val="0"/>
        </w:numPr>
        <w:tabs>
          <w:tab w:val="left" w:pos="827"/>
        </w:tabs>
        <w:spacing w:before="96" w:after="0" w:line="240" w:lineRule="auto"/>
        <w:ind w:right="0" w:rightChars="0"/>
        <w:jc w:val="left"/>
        <w:rPr>
          <w:rFonts w:hint="default" w:ascii="仿宋_GB2312" w:hAnsi="Times New Roman" w:eastAsia="仿宋_GB2312" w:cs="Times New Roman"/>
          <w:b/>
          <w:bCs/>
          <w:kern w:val="2"/>
          <w:sz w:val="24"/>
          <w:szCs w:val="24"/>
          <w:lang w:val="en-US" w:eastAsia="zh-CN" w:bidi="ar-SA"/>
        </w:rPr>
      </w:pPr>
      <w:r>
        <w:rPr>
          <w:rFonts w:hint="eastAsia" w:ascii="仿宋_GB2312" w:hAnsi="Times New Roman" w:eastAsia="仿宋_GB2312" w:cs="Times New Roman"/>
          <w:b/>
          <w:bCs/>
          <w:kern w:val="2"/>
          <w:sz w:val="24"/>
          <w:szCs w:val="24"/>
          <w:lang w:val="en-US" w:eastAsia="zh-CN" w:bidi="ar-SA"/>
        </w:rPr>
        <w:t>5.电力工程</w:t>
      </w:r>
    </w:p>
    <w:tbl>
      <w:tblPr>
        <w:tblStyle w:val="13"/>
        <w:tblW w:w="8910" w:type="dxa"/>
        <w:tblInd w:w="-1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49"/>
        <w:gridCol w:w="2500"/>
        <w:gridCol w:w="2265"/>
        <w:gridCol w:w="1796"/>
      </w:tblGrid>
      <w:tr w14:paraId="01D3A2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349" w:type="dxa"/>
            <w:tcBorders>
              <w:tl2br w:val="nil"/>
              <w:tr2bl w:val="nil"/>
            </w:tcBorders>
            <w:noWrap w:val="0"/>
            <w:vAlign w:val="center"/>
          </w:tcPr>
          <w:p w14:paraId="6408EFE0">
            <w:pPr>
              <w:spacing w:line="240" w:lineRule="auto"/>
              <w:jc w:val="center"/>
              <w:rPr>
                <w:rFonts w:hint="eastAsia" w:ascii="仿宋_GB2312" w:hAnsi="Calibri" w:eastAsia="仿宋_GB2312" w:cs="Times New Roman"/>
                <w:b w:val="0"/>
                <w:bCs w:val="0"/>
                <w:color w:val="C00000"/>
                <w:kern w:val="44"/>
                <w:sz w:val="24"/>
                <w:szCs w:val="24"/>
                <w:lang w:val="en-US" w:eastAsia="zh-CN" w:bidi="ar"/>
              </w:rPr>
            </w:pPr>
            <w:r>
              <w:rPr>
                <w:rFonts w:hint="eastAsia" w:ascii="仿宋_GB2312" w:eastAsia="仿宋_GB2312"/>
                <w:b/>
                <w:bCs/>
                <w:sz w:val="24"/>
                <w:szCs w:val="24"/>
              </w:rPr>
              <w:t>行业项目</w:t>
            </w:r>
          </w:p>
        </w:tc>
        <w:tc>
          <w:tcPr>
            <w:tcW w:w="2500" w:type="dxa"/>
            <w:tcBorders>
              <w:tl2br w:val="nil"/>
              <w:tr2bl w:val="nil"/>
            </w:tcBorders>
            <w:noWrap w:val="0"/>
            <w:vAlign w:val="center"/>
          </w:tcPr>
          <w:p w14:paraId="3A0130A5">
            <w:pPr>
              <w:spacing w:line="240" w:lineRule="auto"/>
              <w:jc w:val="center"/>
              <w:rPr>
                <w:rFonts w:hint="eastAsia" w:ascii="仿宋_GB2312" w:hAnsi="Calibri" w:eastAsia="仿宋_GB2312" w:cs="Times New Roman"/>
                <w:b w:val="0"/>
                <w:bCs w:val="0"/>
                <w:color w:val="C00000"/>
                <w:kern w:val="44"/>
                <w:sz w:val="24"/>
                <w:szCs w:val="24"/>
                <w:lang w:val="en-US" w:eastAsia="zh-CN" w:bidi="ar"/>
              </w:rPr>
            </w:pPr>
            <w:r>
              <w:rPr>
                <w:rFonts w:hint="eastAsia" w:ascii="仿宋_GB2312" w:eastAsia="仿宋_GB2312"/>
                <w:b/>
                <w:bCs/>
                <w:sz w:val="24"/>
                <w:szCs w:val="24"/>
              </w:rPr>
              <w:t>计量单位</w:t>
            </w:r>
          </w:p>
        </w:tc>
        <w:tc>
          <w:tcPr>
            <w:tcW w:w="2265" w:type="dxa"/>
            <w:tcBorders>
              <w:tl2br w:val="nil"/>
              <w:tr2bl w:val="nil"/>
            </w:tcBorders>
            <w:noWrap w:val="0"/>
            <w:vAlign w:val="center"/>
          </w:tcPr>
          <w:p w14:paraId="317DC32C">
            <w:pPr>
              <w:spacing w:line="240" w:lineRule="auto"/>
              <w:jc w:val="center"/>
              <w:rPr>
                <w:rFonts w:hint="eastAsia" w:ascii="仿宋_GB2312" w:hAnsi="Calibri" w:eastAsia="仿宋_GB2312" w:cs="Times New Roman"/>
                <w:b w:val="0"/>
                <w:bCs w:val="0"/>
                <w:color w:val="C00000"/>
                <w:kern w:val="44"/>
                <w:sz w:val="24"/>
                <w:szCs w:val="24"/>
                <w:lang w:val="en-US" w:eastAsia="zh-CN" w:bidi="ar"/>
              </w:rPr>
            </w:pPr>
            <w:r>
              <w:rPr>
                <w:rFonts w:hint="eastAsia" w:ascii="仿宋_GB2312" w:eastAsia="仿宋_GB2312"/>
                <w:b/>
                <w:bCs/>
                <w:sz w:val="24"/>
                <w:szCs w:val="24"/>
              </w:rPr>
              <w:t>规模（及以上）</w:t>
            </w:r>
          </w:p>
        </w:tc>
        <w:tc>
          <w:tcPr>
            <w:tcW w:w="1796" w:type="dxa"/>
            <w:tcBorders>
              <w:tl2br w:val="nil"/>
              <w:tr2bl w:val="nil"/>
            </w:tcBorders>
            <w:noWrap w:val="0"/>
            <w:vAlign w:val="center"/>
          </w:tcPr>
          <w:p w14:paraId="03D0C642">
            <w:pPr>
              <w:spacing w:line="240" w:lineRule="auto"/>
              <w:jc w:val="center"/>
              <w:rPr>
                <w:rFonts w:hint="eastAsia" w:ascii="仿宋_GB2312" w:hAnsi="Times New Roman" w:eastAsia="仿宋_GB2312" w:cs="Times New Roman"/>
                <w:b/>
                <w:bCs/>
                <w:kern w:val="2"/>
                <w:sz w:val="24"/>
                <w:szCs w:val="24"/>
                <w:lang w:val="en-US" w:eastAsia="zh-CN" w:bidi="ar-SA"/>
              </w:rPr>
            </w:pPr>
            <w:r>
              <w:rPr>
                <w:rFonts w:hint="eastAsia" w:ascii="仿宋_GB2312" w:eastAsia="仿宋_GB2312"/>
                <w:b/>
                <w:bCs/>
                <w:sz w:val="24"/>
                <w:szCs w:val="24"/>
              </w:rPr>
              <w:t>备注</w:t>
            </w:r>
          </w:p>
        </w:tc>
      </w:tr>
      <w:tr w14:paraId="799A2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349" w:type="dxa"/>
            <w:tcBorders>
              <w:tl2br w:val="nil"/>
              <w:tr2bl w:val="nil"/>
            </w:tcBorders>
            <w:noWrap w:val="0"/>
            <w:vAlign w:val="center"/>
          </w:tcPr>
          <w:p w14:paraId="7F7722D8">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送变电</w:t>
            </w:r>
          </w:p>
        </w:tc>
        <w:tc>
          <w:tcPr>
            <w:tcW w:w="2500" w:type="dxa"/>
            <w:tcBorders>
              <w:tl2br w:val="nil"/>
              <w:tr2bl w:val="nil"/>
            </w:tcBorders>
            <w:noWrap w:val="0"/>
            <w:vAlign w:val="center"/>
          </w:tcPr>
          <w:p w14:paraId="34371DE6">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变电电压</w:t>
            </w:r>
            <w:r>
              <w:rPr>
                <w:rFonts w:hint="eastAsia" w:ascii="仿宋_GB2312" w:hAnsi="Calibri" w:eastAsia="仿宋_GB2312" w:cs="Times New Roman"/>
                <w:b w:val="0"/>
                <w:bCs w:val="0"/>
                <w:color w:val="auto"/>
                <w:kern w:val="44"/>
                <w:sz w:val="24"/>
                <w:szCs w:val="24"/>
                <w:lang w:val="en-US" w:eastAsia="zh-CN" w:bidi="ar"/>
              </w:rPr>
              <w:tab/>
            </w:r>
            <w:r>
              <w:rPr>
                <w:rFonts w:hint="eastAsia" w:ascii="仿宋_GB2312" w:hAnsi="Calibri" w:eastAsia="仿宋_GB2312" w:cs="Times New Roman"/>
                <w:b w:val="0"/>
                <w:bCs w:val="0"/>
                <w:color w:val="auto"/>
                <w:kern w:val="44"/>
                <w:sz w:val="24"/>
                <w:szCs w:val="24"/>
                <w:lang w:val="en-US" w:eastAsia="zh-CN" w:bidi="ar"/>
              </w:rPr>
              <w:t>千伏</w:t>
            </w:r>
          </w:p>
        </w:tc>
        <w:tc>
          <w:tcPr>
            <w:tcW w:w="2265" w:type="dxa"/>
            <w:tcBorders>
              <w:tl2br w:val="nil"/>
              <w:tr2bl w:val="nil"/>
            </w:tcBorders>
            <w:noWrap w:val="0"/>
            <w:vAlign w:val="center"/>
          </w:tcPr>
          <w:p w14:paraId="443CC379">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300 以上</w:t>
            </w:r>
          </w:p>
        </w:tc>
        <w:tc>
          <w:tcPr>
            <w:tcW w:w="1796" w:type="dxa"/>
            <w:tcBorders>
              <w:tl2br w:val="nil"/>
              <w:tr2bl w:val="nil"/>
            </w:tcBorders>
            <w:noWrap w:val="0"/>
            <w:vAlign w:val="center"/>
          </w:tcPr>
          <w:p w14:paraId="045AD550">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整体、连续</w:t>
            </w:r>
          </w:p>
        </w:tc>
      </w:tr>
      <w:tr w14:paraId="31F48D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2349" w:type="dxa"/>
            <w:tcBorders>
              <w:tl2br w:val="nil"/>
              <w:tr2bl w:val="nil"/>
            </w:tcBorders>
            <w:noWrap w:val="0"/>
            <w:vAlign w:val="center"/>
          </w:tcPr>
          <w:p w14:paraId="625C172E">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风电场</w:t>
            </w:r>
          </w:p>
        </w:tc>
        <w:tc>
          <w:tcPr>
            <w:tcW w:w="2500" w:type="dxa"/>
            <w:tcBorders>
              <w:tl2br w:val="nil"/>
              <w:tr2bl w:val="nil"/>
            </w:tcBorders>
            <w:noWrap w:val="0"/>
            <w:vAlign w:val="center"/>
          </w:tcPr>
          <w:p w14:paraId="6003E3EE">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装机容量</w:t>
            </w:r>
            <w:r>
              <w:rPr>
                <w:rFonts w:hint="eastAsia" w:ascii="仿宋_GB2312" w:hAnsi="Calibri" w:eastAsia="仿宋_GB2312" w:cs="Times New Roman"/>
                <w:b w:val="0"/>
                <w:bCs w:val="0"/>
                <w:color w:val="auto"/>
                <w:kern w:val="44"/>
                <w:sz w:val="24"/>
                <w:szCs w:val="24"/>
                <w:lang w:val="en-US" w:eastAsia="zh-CN" w:bidi="ar"/>
              </w:rPr>
              <w:tab/>
            </w:r>
            <w:r>
              <w:rPr>
                <w:rFonts w:hint="eastAsia" w:ascii="仿宋_GB2312" w:hAnsi="Calibri" w:eastAsia="仿宋_GB2312" w:cs="Times New Roman"/>
                <w:b w:val="0"/>
                <w:bCs w:val="0"/>
                <w:color w:val="auto"/>
                <w:kern w:val="44"/>
                <w:sz w:val="24"/>
                <w:szCs w:val="24"/>
                <w:lang w:val="en-US" w:eastAsia="zh-CN" w:bidi="ar"/>
              </w:rPr>
              <w:t>兆瓦</w:t>
            </w:r>
          </w:p>
        </w:tc>
        <w:tc>
          <w:tcPr>
            <w:tcW w:w="2265" w:type="dxa"/>
            <w:tcBorders>
              <w:tl2br w:val="nil"/>
              <w:tr2bl w:val="nil"/>
            </w:tcBorders>
            <w:noWrap w:val="0"/>
            <w:vAlign w:val="center"/>
          </w:tcPr>
          <w:p w14:paraId="08F3FF73">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60 以上</w:t>
            </w:r>
          </w:p>
        </w:tc>
        <w:tc>
          <w:tcPr>
            <w:tcW w:w="1796" w:type="dxa"/>
            <w:tcBorders>
              <w:tl2br w:val="nil"/>
              <w:tr2bl w:val="nil"/>
            </w:tcBorders>
            <w:noWrap w:val="0"/>
            <w:vAlign w:val="center"/>
          </w:tcPr>
          <w:p w14:paraId="119CF9E1">
            <w:pPr>
              <w:spacing w:line="240" w:lineRule="auto"/>
              <w:jc w:val="center"/>
              <w:rPr>
                <w:rFonts w:hint="eastAsia" w:ascii="仿宋_GB2312" w:hAnsi="Calibri" w:eastAsia="仿宋_GB2312" w:cs="Times New Roman"/>
                <w:b w:val="0"/>
                <w:bCs w:val="0"/>
                <w:color w:val="auto"/>
                <w:kern w:val="44"/>
                <w:sz w:val="24"/>
                <w:szCs w:val="24"/>
                <w:lang w:val="en-US" w:eastAsia="zh-CN" w:bidi="ar"/>
              </w:rPr>
            </w:pPr>
          </w:p>
        </w:tc>
      </w:tr>
      <w:tr w14:paraId="7A63D9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349" w:type="dxa"/>
            <w:tcBorders>
              <w:tl2br w:val="nil"/>
              <w:tr2bl w:val="nil"/>
            </w:tcBorders>
            <w:noWrap w:val="0"/>
            <w:vAlign w:val="center"/>
          </w:tcPr>
          <w:p w14:paraId="2C5E2623">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光伏发电</w:t>
            </w:r>
          </w:p>
        </w:tc>
        <w:tc>
          <w:tcPr>
            <w:tcW w:w="2500" w:type="dxa"/>
            <w:tcBorders>
              <w:tl2br w:val="nil"/>
              <w:tr2bl w:val="nil"/>
            </w:tcBorders>
            <w:noWrap w:val="0"/>
            <w:vAlign w:val="center"/>
          </w:tcPr>
          <w:p w14:paraId="056BF0D2">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发电容量</w:t>
            </w:r>
            <w:r>
              <w:rPr>
                <w:rFonts w:hint="eastAsia" w:ascii="仿宋_GB2312" w:hAnsi="Calibri" w:eastAsia="仿宋_GB2312" w:cs="Times New Roman"/>
                <w:b w:val="0"/>
                <w:bCs w:val="0"/>
                <w:color w:val="auto"/>
                <w:kern w:val="44"/>
                <w:sz w:val="24"/>
                <w:szCs w:val="24"/>
                <w:lang w:val="en-US" w:eastAsia="zh-CN" w:bidi="ar"/>
              </w:rPr>
              <w:tab/>
            </w:r>
            <w:r>
              <w:rPr>
                <w:rFonts w:hint="eastAsia" w:ascii="仿宋_GB2312" w:hAnsi="Calibri" w:eastAsia="仿宋_GB2312" w:cs="Times New Roman"/>
                <w:b w:val="0"/>
                <w:bCs w:val="0"/>
                <w:color w:val="auto"/>
                <w:kern w:val="44"/>
                <w:sz w:val="24"/>
                <w:szCs w:val="24"/>
                <w:lang w:val="en-US" w:eastAsia="zh-CN" w:bidi="ar"/>
              </w:rPr>
              <w:t>兆瓦</w:t>
            </w:r>
          </w:p>
        </w:tc>
        <w:tc>
          <w:tcPr>
            <w:tcW w:w="2265" w:type="dxa"/>
            <w:tcBorders>
              <w:tl2br w:val="nil"/>
              <w:tr2bl w:val="nil"/>
            </w:tcBorders>
            <w:noWrap w:val="0"/>
            <w:vAlign w:val="center"/>
          </w:tcPr>
          <w:p w14:paraId="18DE87F6">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30 以上</w:t>
            </w:r>
          </w:p>
        </w:tc>
        <w:tc>
          <w:tcPr>
            <w:tcW w:w="1796" w:type="dxa"/>
            <w:tcBorders>
              <w:tl2br w:val="nil"/>
              <w:tr2bl w:val="nil"/>
            </w:tcBorders>
            <w:noWrap w:val="0"/>
            <w:vAlign w:val="center"/>
          </w:tcPr>
          <w:p w14:paraId="265DE2F8">
            <w:pPr>
              <w:spacing w:line="240" w:lineRule="auto"/>
              <w:jc w:val="center"/>
              <w:rPr>
                <w:rFonts w:hint="eastAsia" w:ascii="仿宋_GB2312" w:hAnsi="Calibri" w:eastAsia="仿宋_GB2312" w:cs="Times New Roman"/>
                <w:b w:val="0"/>
                <w:bCs w:val="0"/>
                <w:color w:val="auto"/>
                <w:kern w:val="44"/>
                <w:sz w:val="24"/>
                <w:szCs w:val="24"/>
                <w:lang w:val="en-US" w:eastAsia="zh-CN" w:bidi="ar"/>
              </w:rPr>
            </w:pPr>
          </w:p>
        </w:tc>
      </w:tr>
      <w:tr w14:paraId="1D2DF4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349" w:type="dxa"/>
            <w:tcBorders>
              <w:tl2br w:val="nil"/>
              <w:tr2bl w:val="nil"/>
            </w:tcBorders>
            <w:noWrap w:val="0"/>
            <w:vAlign w:val="center"/>
          </w:tcPr>
          <w:p w14:paraId="1856A9E1">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水电站</w:t>
            </w:r>
          </w:p>
        </w:tc>
        <w:tc>
          <w:tcPr>
            <w:tcW w:w="2500" w:type="dxa"/>
            <w:tcBorders>
              <w:tl2br w:val="nil"/>
              <w:tr2bl w:val="nil"/>
            </w:tcBorders>
            <w:noWrap w:val="0"/>
            <w:vAlign w:val="center"/>
          </w:tcPr>
          <w:p w14:paraId="219C7A13">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装机容量</w:t>
            </w:r>
            <w:r>
              <w:rPr>
                <w:rFonts w:hint="eastAsia" w:ascii="仿宋_GB2312" w:hAnsi="Calibri" w:eastAsia="仿宋_GB2312" w:cs="Times New Roman"/>
                <w:b w:val="0"/>
                <w:bCs w:val="0"/>
                <w:color w:val="auto"/>
                <w:kern w:val="44"/>
                <w:sz w:val="24"/>
                <w:szCs w:val="24"/>
                <w:lang w:val="en-US" w:eastAsia="zh-CN" w:bidi="ar"/>
              </w:rPr>
              <w:tab/>
            </w:r>
            <w:r>
              <w:rPr>
                <w:rFonts w:hint="eastAsia" w:ascii="仿宋_GB2312" w:hAnsi="Calibri" w:eastAsia="仿宋_GB2312" w:cs="Times New Roman"/>
                <w:b w:val="0"/>
                <w:bCs w:val="0"/>
                <w:color w:val="auto"/>
                <w:kern w:val="44"/>
                <w:sz w:val="24"/>
                <w:szCs w:val="24"/>
                <w:lang w:val="en-US" w:eastAsia="zh-CN" w:bidi="ar"/>
              </w:rPr>
              <w:t>兆瓦</w:t>
            </w:r>
          </w:p>
        </w:tc>
        <w:tc>
          <w:tcPr>
            <w:tcW w:w="2265" w:type="dxa"/>
            <w:tcBorders>
              <w:tl2br w:val="nil"/>
              <w:tr2bl w:val="nil"/>
            </w:tcBorders>
            <w:noWrap w:val="0"/>
            <w:vAlign w:val="center"/>
          </w:tcPr>
          <w:p w14:paraId="4AF6CCAC">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400 以上</w:t>
            </w:r>
          </w:p>
        </w:tc>
        <w:tc>
          <w:tcPr>
            <w:tcW w:w="1796" w:type="dxa"/>
            <w:tcBorders>
              <w:tl2br w:val="nil"/>
              <w:tr2bl w:val="nil"/>
            </w:tcBorders>
            <w:noWrap w:val="0"/>
            <w:vAlign w:val="center"/>
          </w:tcPr>
          <w:p w14:paraId="497BEE1A">
            <w:pPr>
              <w:spacing w:line="240" w:lineRule="auto"/>
              <w:jc w:val="center"/>
              <w:rPr>
                <w:rFonts w:hint="eastAsia" w:ascii="仿宋_GB2312" w:hAnsi="Calibri" w:eastAsia="仿宋_GB2312" w:cs="Times New Roman"/>
                <w:b w:val="0"/>
                <w:bCs w:val="0"/>
                <w:color w:val="auto"/>
                <w:kern w:val="44"/>
                <w:sz w:val="24"/>
                <w:szCs w:val="24"/>
                <w:lang w:val="en-US" w:eastAsia="zh-CN" w:bidi="ar"/>
              </w:rPr>
            </w:pPr>
          </w:p>
        </w:tc>
      </w:tr>
      <w:tr w14:paraId="507892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349" w:type="dxa"/>
            <w:tcBorders>
              <w:tl2br w:val="nil"/>
              <w:tr2bl w:val="nil"/>
            </w:tcBorders>
            <w:noWrap w:val="0"/>
            <w:vAlign w:val="center"/>
          </w:tcPr>
          <w:p w14:paraId="13E63641">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火电厂</w:t>
            </w:r>
          </w:p>
        </w:tc>
        <w:tc>
          <w:tcPr>
            <w:tcW w:w="2500" w:type="dxa"/>
            <w:tcBorders>
              <w:tl2br w:val="nil"/>
              <w:tr2bl w:val="nil"/>
            </w:tcBorders>
            <w:noWrap w:val="0"/>
            <w:vAlign w:val="center"/>
          </w:tcPr>
          <w:p w14:paraId="71EBC9F1">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单机容量</w:t>
            </w:r>
            <w:r>
              <w:rPr>
                <w:rFonts w:hint="eastAsia" w:ascii="仿宋_GB2312" w:hAnsi="Calibri" w:eastAsia="仿宋_GB2312" w:cs="Times New Roman"/>
                <w:b w:val="0"/>
                <w:bCs w:val="0"/>
                <w:color w:val="auto"/>
                <w:kern w:val="44"/>
                <w:sz w:val="24"/>
                <w:szCs w:val="24"/>
                <w:lang w:val="en-US" w:eastAsia="zh-CN" w:bidi="ar"/>
              </w:rPr>
              <w:tab/>
            </w:r>
            <w:r>
              <w:rPr>
                <w:rFonts w:hint="eastAsia" w:ascii="仿宋_GB2312" w:hAnsi="Calibri" w:eastAsia="仿宋_GB2312" w:cs="Times New Roman"/>
                <w:b w:val="0"/>
                <w:bCs w:val="0"/>
                <w:color w:val="auto"/>
                <w:kern w:val="44"/>
                <w:sz w:val="24"/>
                <w:szCs w:val="24"/>
                <w:lang w:val="en-US" w:eastAsia="zh-CN" w:bidi="ar"/>
              </w:rPr>
              <w:t>兆瓦</w:t>
            </w:r>
          </w:p>
        </w:tc>
        <w:tc>
          <w:tcPr>
            <w:tcW w:w="2265" w:type="dxa"/>
            <w:tcBorders>
              <w:tl2br w:val="nil"/>
              <w:tr2bl w:val="nil"/>
            </w:tcBorders>
            <w:noWrap w:val="0"/>
            <w:vAlign w:val="center"/>
          </w:tcPr>
          <w:p w14:paraId="7B688D33">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200 以上</w:t>
            </w:r>
          </w:p>
        </w:tc>
        <w:tc>
          <w:tcPr>
            <w:tcW w:w="1796" w:type="dxa"/>
            <w:tcBorders>
              <w:tl2br w:val="nil"/>
              <w:tr2bl w:val="nil"/>
            </w:tcBorders>
            <w:noWrap w:val="0"/>
            <w:vAlign w:val="center"/>
          </w:tcPr>
          <w:p w14:paraId="7F568949">
            <w:pPr>
              <w:spacing w:line="240" w:lineRule="auto"/>
              <w:jc w:val="center"/>
              <w:rPr>
                <w:rFonts w:hint="eastAsia" w:ascii="仿宋_GB2312" w:hAnsi="Calibri" w:eastAsia="仿宋_GB2312" w:cs="Times New Roman"/>
                <w:b w:val="0"/>
                <w:bCs w:val="0"/>
                <w:color w:val="auto"/>
                <w:kern w:val="44"/>
                <w:sz w:val="24"/>
                <w:szCs w:val="24"/>
                <w:lang w:val="en-US" w:eastAsia="zh-CN" w:bidi="ar"/>
              </w:rPr>
            </w:pPr>
          </w:p>
        </w:tc>
      </w:tr>
      <w:tr w14:paraId="2B8BDD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349" w:type="dxa"/>
            <w:tcBorders>
              <w:tl2br w:val="nil"/>
              <w:tr2bl w:val="nil"/>
            </w:tcBorders>
            <w:noWrap w:val="0"/>
            <w:vAlign w:val="center"/>
          </w:tcPr>
          <w:p w14:paraId="6071B3BA">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燃气发电厂</w:t>
            </w:r>
          </w:p>
        </w:tc>
        <w:tc>
          <w:tcPr>
            <w:tcW w:w="2500" w:type="dxa"/>
            <w:tcBorders>
              <w:tl2br w:val="nil"/>
              <w:tr2bl w:val="nil"/>
            </w:tcBorders>
            <w:noWrap w:val="0"/>
            <w:vAlign w:val="center"/>
          </w:tcPr>
          <w:p w14:paraId="2CF92CB6">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单机容量</w:t>
            </w:r>
            <w:r>
              <w:rPr>
                <w:rFonts w:hint="eastAsia" w:ascii="仿宋_GB2312" w:hAnsi="Calibri" w:eastAsia="仿宋_GB2312" w:cs="Times New Roman"/>
                <w:b w:val="0"/>
                <w:bCs w:val="0"/>
                <w:color w:val="auto"/>
                <w:kern w:val="44"/>
                <w:sz w:val="24"/>
                <w:szCs w:val="24"/>
                <w:lang w:val="en-US" w:eastAsia="zh-CN" w:bidi="ar"/>
              </w:rPr>
              <w:tab/>
            </w:r>
            <w:r>
              <w:rPr>
                <w:rFonts w:hint="eastAsia" w:ascii="仿宋_GB2312" w:hAnsi="Calibri" w:eastAsia="仿宋_GB2312" w:cs="Times New Roman"/>
                <w:b w:val="0"/>
                <w:bCs w:val="0"/>
                <w:color w:val="auto"/>
                <w:kern w:val="44"/>
                <w:sz w:val="24"/>
                <w:szCs w:val="24"/>
                <w:lang w:val="en-US" w:eastAsia="zh-CN" w:bidi="ar"/>
              </w:rPr>
              <w:t>兆瓦</w:t>
            </w:r>
          </w:p>
        </w:tc>
        <w:tc>
          <w:tcPr>
            <w:tcW w:w="2265" w:type="dxa"/>
            <w:tcBorders>
              <w:tl2br w:val="nil"/>
              <w:tr2bl w:val="nil"/>
            </w:tcBorders>
            <w:noWrap w:val="0"/>
            <w:vAlign w:val="center"/>
          </w:tcPr>
          <w:p w14:paraId="3ED591FC">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120 以上</w:t>
            </w:r>
          </w:p>
        </w:tc>
        <w:tc>
          <w:tcPr>
            <w:tcW w:w="1796" w:type="dxa"/>
            <w:tcBorders>
              <w:tl2br w:val="nil"/>
              <w:tr2bl w:val="nil"/>
            </w:tcBorders>
            <w:noWrap w:val="0"/>
            <w:vAlign w:val="center"/>
          </w:tcPr>
          <w:p w14:paraId="68240278">
            <w:pPr>
              <w:spacing w:line="240" w:lineRule="auto"/>
              <w:jc w:val="center"/>
              <w:rPr>
                <w:rFonts w:hint="eastAsia" w:ascii="仿宋_GB2312" w:hAnsi="Calibri" w:eastAsia="仿宋_GB2312" w:cs="Times New Roman"/>
                <w:b w:val="0"/>
                <w:bCs w:val="0"/>
                <w:color w:val="auto"/>
                <w:kern w:val="44"/>
                <w:sz w:val="24"/>
                <w:szCs w:val="24"/>
                <w:lang w:val="en-US" w:eastAsia="zh-CN" w:bidi="ar"/>
              </w:rPr>
            </w:pPr>
          </w:p>
        </w:tc>
      </w:tr>
      <w:tr w14:paraId="24C04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349" w:type="dxa"/>
            <w:tcBorders>
              <w:tl2br w:val="nil"/>
              <w:tr2bl w:val="nil"/>
            </w:tcBorders>
            <w:noWrap w:val="0"/>
            <w:vAlign w:val="center"/>
          </w:tcPr>
          <w:p w14:paraId="28E26815">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垃圾及生物质发电厂</w:t>
            </w:r>
          </w:p>
        </w:tc>
        <w:tc>
          <w:tcPr>
            <w:tcW w:w="2500" w:type="dxa"/>
            <w:tcBorders>
              <w:tl2br w:val="nil"/>
              <w:tr2bl w:val="nil"/>
            </w:tcBorders>
            <w:noWrap w:val="0"/>
            <w:vAlign w:val="center"/>
          </w:tcPr>
          <w:p w14:paraId="2F6E5F6A">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单机容量</w:t>
            </w:r>
            <w:r>
              <w:rPr>
                <w:rFonts w:hint="eastAsia" w:ascii="仿宋_GB2312" w:hAnsi="Calibri" w:eastAsia="仿宋_GB2312" w:cs="Times New Roman"/>
                <w:b w:val="0"/>
                <w:bCs w:val="0"/>
                <w:color w:val="auto"/>
                <w:kern w:val="44"/>
                <w:sz w:val="24"/>
                <w:szCs w:val="24"/>
                <w:lang w:val="en-US" w:eastAsia="zh-CN" w:bidi="ar"/>
              </w:rPr>
              <w:tab/>
            </w:r>
            <w:r>
              <w:rPr>
                <w:rFonts w:hint="eastAsia" w:ascii="仿宋_GB2312" w:hAnsi="Calibri" w:eastAsia="仿宋_GB2312" w:cs="Times New Roman"/>
                <w:b w:val="0"/>
                <w:bCs w:val="0"/>
                <w:color w:val="auto"/>
                <w:kern w:val="44"/>
                <w:sz w:val="24"/>
                <w:szCs w:val="24"/>
                <w:lang w:val="en-US" w:eastAsia="zh-CN" w:bidi="ar"/>
              </w:rPr>
              <w:t>兆瓦</w:t>
            </w:r>
          </w:p>
        </w:tc>
        <w:tc>
          <w:tcPr>
            <w:tcW w:w="2265" w:type="dxa"/>
            <w:tcBorders>
              <w:tl2br w:val="nil"/>
              <w:tr2bl w:val="nil"/>
            </w:tcBorders>
            <w:noWrap w:val="0"/>
            <w:vAlign w:val="center"/>
          </w:tcPr>
          <w:p w14:paraId="49237D09">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15 以上</w:t>
            </w:r>
          </w:p>
        </w:tc>
        <w:tc>
          <w:tcPr>
            <w:tcW w:w="1796" w:type="dxa"/>
            <w:tcBorders>
              <w:tl2br w:val="nil"/>
              <w:tr2bl w:val="nil"/>
            </w:tcBorders>
            <w:noWrap w:val="0"/>
            <w:vAlign w:val="center"/>
          </w:tcPr>
          <w:p w14:paraId="0858A827">
            <w:pPr>
              <w:spacing w:line="240" w:lineRule="auto"/>
              <w:jc w:val="center"/>
              <w:rPr>
                <w:rFonts w:hint="eastAsia" w:ascii="仿宋_GB2312" w:hAnsi="Calibri" w:eastAsia="仿宋_GB2312" w:cs="Times New Roman"/>
                <w:b w:val="0"/>
                <w:bCs w:val="0"/>
                <w:color w:val="auto"/>
                <w:kern w:val="44"/>
                <w:sz w:val="24"/>
                <w:szCs w:val="24"/>
                <w:lang w:val="en-US" w:eastAsia="zh-CN" w:bidi="ar"/>
              </w:rPr>
            </w:pPr>
          </w:p>
        </w:tc>
      </w:tr>
      <w:tr w14:paraId="59B458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349" w:type="dxa"/>
            <w:tcBorders>
              <w:tl2br w:val="nil"/>
              <w:tr2bl w:val="nil"/>
            </w:tcBorders>
            <w:noWrap w:val="0"/>
            <w:vAlign w:val="center"/>
          </w:tcPr>
          <w:p w14:paraId="753F6F47">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其他工程</w:t>
            </w:r>
          </w:p>
        </w:tc>
        <w:tc>
          <w:tcPr>
            <w:tcW w:w="2500" w:type="dxa"/>
            <w:tcBorders>
              <w:tl2br w:val="nil"/>
              <w:tr2bl w:val="nil"/>
            </w:tcBorders>
            <w:noWrap w:val="0"/>
            <w:vAlign w:val="center"/>
          </w:tcPr>
          <w:p w14:paraId="7068AC92">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投资</w:t>
            </w:r>
            <w:r>
              <w:rPr>
                <w:rFonts w:hint="eastAsia" w:ascii="仿宋_GB2312" w:hAnsi="Calibri" w:eastAsia="仿宋_GB2312" w:cs="Times New Roman"/>
                <w:b w:val="0"/>
                <w:bCs w:val="0"/>
                <w:color w:val="auto"/>
                <w:kern w:val="44"/>
                <w:sz w:val="24"/>
                <w:szCs w:val="24"/>
                <w:lang w:val="en-US" w:eastAsia="zh-CN" w:bidi="ar"/>
              </w:rPr>
              <w:tab/>
            </w:r>
            <w:r>
              <w:rPr>
                <w:rFonts w:hint="eastAsia" w:ascii="仿宋_GB2312" w:hAnsi="Calibri" w:eastAsia="仿宋_GB2312" w:cs="Times New Roman"/>
                <w:b w:val="0"/>
                <w:bCs w:val="0"/>
                <w:color w:val="auto"/>
                <w:kern w:val="44"/>
                <w:sz w:val="24"/>
                <w:szCs w:val="24"/>
                <w:lang w:val="en-US" w:eastAsia="zh-CN" w:bidi="ar"/>
              </w:rPr>
              <w:t>亿元</w:t>
            </w:r>
          </w:p>
        </w:tc>
        <w:tc>
          <w:tcPr>
            <w:tcW w:w="2265" w:type="dxa"/>
            <w:tcBorders>
              <w:tl2br w:val="nil"/>
              <w:tr2bl w:val="nil"/>
            </w:tcBorders>
            <w:noWrap w:val="0"/>
            <w:vAlign w:val="center"/>
          </w:tcPr>
          <w:p w14:paraId="1E166D6C">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0.5 以上</w:t>
            </w:r>
          </w:p>
        </w:tc>
        <w:tc>
          <w:tcPr>
            <w:tcW w:w="1796" w:type="dxa"/>
            <w:tcBorders>
              <w:tl2br w:val="nil"/>
              <w:tr2bl w:val="nil"/>
            </w:tcBorders>
            <w:noWrap w:val="0"/>
            <w:vAlign w:val="center"/>
          </w:tcPr>
          <w:p w14:paraId="04387420">
            <w:pPr>
              <w:spacing w:line="240" w:lineRule="auto"/>
              <w:jc w:val="center"/>
              <w:rPr>
                <w:rFonts w:hint="eastAsia" w:ascii="仿宋_GB2312" w:hAnsi="Calibri" w:eastAsia="仿宋_GB2312" w:cs="Times New Roman"/>
                <w:b w:val="0"/>
                <w:bCs w:val="0"/>
                <w:color w:val="auto"/>
                <w:kern w:val="44"/>
                <w:sz w:val="24"/>
                <w:szCs w:val="24"/>
                <w:lang w:val="en-US" w:eastAsia="zh-CN" w:bidi="ar"/>
              </w:rPr>
            </w:pPr>
          </w:p>
        </w:tc>
      </w:tr>
    </w:tbl>
    <w:p w14:paraId="4FB9BB05">
      <w:pPr>
        <w:pStyle w:val="36"/>
        <w:numPr>
          <w:ilvl w:val="0"/>
          <w:numId w:val="0"/>
        </w:numPr>
        <w:tabs>
          <w:tab w:val="left" w:pos="827"/>
        </w:tabs>
        <w:spacing w:before="96" w:after="0" w:line="240" w:lineRule="auto"/>
        <w:ind w:right="0" w:rightChars="0"/>
        <w:jc w:val="left"/>
        <w:rPr>
          <w:rFonts w:hint="eastAsia" w:ascii="仿宋_GB2312" w:hAnsi="Times New Roman" w:eastAsia="仿宋_GB2312" w:cs="Times New Roman"/>
          <w:b/>
          <w:bCs/>
          <w:kern w:val="2"/>
          <w:sz w:val="24"/>
          <w:szCs w:val="24"/>
          <w:lang w:val="en-US" w:eastAsia="zh-CN" w:bidi="ar-SA"/>
        </w:rPr>
      </w:pPr>
      <w:r>
        <w:rPr>
          <w:rFonts w:hint="eastAsia" w:ascii="仿宋_GB2312" w:hAnsi="Times New Roman" w:eastAsia="仿宋_GB2312" w:cs="Times New Roman"/>
          <w:b/>
          <w:bCs/>
          <w:kern w:val="2"/>
          <w:sz w:val="24"/>
          <w:szCs w:val="24"/>
          <w:lang w:val="en-US" w:eastAsia="zh-CN" w:bidi="ar-SA"/>
        </w:rPr>
        <w:t>6.建材</w:t>
      </w:r>
    </w:p>
    <w:tbl>
      <w:tblPr>
        <w:tblStyle w:val="13"/>
        <w:tblW w:w="8920" w:type="dxa"/>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48"/>
        <w:gridCol w:w="2500"/>
        <w:gridCol w:w="2276"/>
        <w:gridCol w:w="1796"/>
      </w:tblGrid>
      <w:tr w14:paraId="5E7702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348" w:type="dxa"/>
            <w:tcBorders>
              <w:left w:val="single" w:color="000000" w:sz="4" w:space="0"/>
            </w:tcBorders>
            <w:noWrap w:val="0"/>
            <w:vAlign w:val="center"/>
          </w:tcPr>
          <w:p w14:paraId="05C1FA81">
            <w:pPr>
              <w:spacing w:line="240" w:lineRule="auto"/>
              <w:jc w:val="center"/>
              <w:rPr>
                <w:rFonts w:hint="eastAsia" w:ascii="仿宋_GB2312" w:hAnsi="Calibri" w:eastAsia="仿宋_GB2312" w:cs="Times New Roman"/>
                <w:b w:val="0"/>
                <w:bCs w:val="0"/>
                <w:color w:val="C00000"/>
                <w:kern w:val="44"/>
                <w:sz w:val="24"/>
                <w:szCs w:val="24"/>
                <w:lang w:val="en-US" w:eastAsia="zh-CN" w:bidi="ar"/>
              </w:rPr>
            </w:pPr>
            <w:r>
              <w:rPr>
                <w:rFonts w:hint="eastAsia" w:ascii="仿宋_GB2312" w:eastAsia="仿宋_GB2312"/>
                <w:b/>
                <w:bCs/>
                <w:sz w:val="24"/>
                <w:szCs w:val="24"/>
              </w:rPr>
              <w:t>行业项目</w:t>
            </w:r>
          </w:p>
        </w:tc>
        <w:tc>
          <w:tcPr>
            <w:tcW w:w="2500" w:type="dxa"/>
            <w:noWrap w:val="0"/>
            <w:vAlign w:val="center"/>
          </w:tcPr>
          <w:p w14:paraId="051C07C3">
            <w:pPr>
              <w:spacing w:line="240" w:lineRule="auto"/>
              <w:jc w:val="center"/>
              <w:rPr>
                <w:rFonts w:hint="eastAsia" w:ascii="仿宋_GB2312" w:hAnsi="Calibri" w:eastAsia="仿宋_GB2312" w:cs="Times New Roman"/>
                <w:b w:val="0"/>
                <w:bCs w:val="0"/>
                <w:color w:val="C00000"/>
                <w:kern w:val="44"/>
                <w:sz w:val="24"/>
                <w:szCs w:val="24"/>
                <w:lang w:val="en-US" w:eastAsia="zh-CN" w:bidi="ar"/>
              </w:rPr>
            </w:pPr>
            <w:r>
              <w:rPr>
                <w:rFonts w:hint="eastAsia" w:ascii="仿宋_GB2312" w:eastAsia="仿宋_GB2312"/>
                <w:b/>
                <w:bCs/>
                <w:sz w:val="24"/>
                <w:szCs w:val="24"/>
              </w:rPr>
              <w:t>计量单位</w:t>
            </w:r>
          </w:p>
        </w:tc>
        <w:tc>
          <w:tcPr>
            <w:tcW w:w="2276" w:type="dxa"/>
            <w:noWrap w:val="0"/>
            <w:vAlign w:val="center"/>
          </w:tcPr>
          <w:p w14:paraId="1E49541F">
            <w:pPr>
              <w:spacing w:line="240" w:lineRule="auto"/>
              <w:jc w:val="center"/>
              <w:rPr>
                <w:rFonts w:hint="eastAsia" w:ascii="仿宋_GB2312" w:hAnsi="Calibri" w:eastAsia="仿宋_GB2312" w:cs="Times New Roman"/>
                <w:b w:val="0"/>
                <w:bCs w:val="0"/>
                <w:color w:val="C00000"/>
                <w:kern w:val="44"/>
                <w:sz w:val="24"/>
                <w:szCs w:val="24"/>
                <w:lang w:val="en-US" w:eastAsia="zh-CN" w:bidi="ar"/>
              </w:rPr>
            </w:pPr>
            <w:r>
              <w:rPr>
                <w:rFonts w:hint="eastAsia" w:ascii="仿宋_GB2312" w:eastAsia="仿宋_GB2312"/>
                <w:b/>
                <w:bCs/>
                <w:sz w:val="24"/>
                <w:szCs w:val="24"/>
              </w:rPr>
              <w:t>规模（及以上）</w:t>
            </w:r>
          </w:p>
        </w:tc>
        <w:tc>
          <w:tcPr>
            <w:tcW w:w="1796" w:type="dxa"/>
            <w:tcBorders>
              <w:right w:val="single" w:color="000000" w:sz="4" w:space="0"/>
            </w:tcBorders>
            <w:noWrap w:val="0"/>
            <w:vAlign w:val="center"/>
          </w:tcPr>
          <w:p w14:paraId="2A6067E1">
            <w:pPr>
              <w:spacing w:line="240" w:lineRule="auto"/>
              <w:jc w:val="center"/>
              <w:rPr>
                <w:rFonts w:hint="eastAsia" w:ascii="仿宋_GB2312" w:hAnsi="Times New Roman" w:eastAsia="仿宋_GB2312" w:cs="Times New Roman"/>
                <w:b/>
                <w:bCs/>
                <w:kern w:val="2"/>
                <w:sz w:val="24"/>
                <w:szCs w:val="24"/>
                <w:lang w:val="en-US" w:eastAsia="zh-CN" w:bidi="ar-SA"/>
              </w:rPr>
            </w:pPr>
            <w:r>
              <w:rPr>
                <w:rFonts w:hint="eastAsia" w:ascii="仿宋_GB2312" w:eastAsia="仿宋_GB2312"/>
                <w:b/>
                <w:bCs/>
                <w:sz w:val="24"/>
                <w:szCs w:val="24"/>
              </w:rPr>
              <w:t>备注</w:t>
            </w:r>
          </w:p>
        </w:tc>
      </w:tr>
      <w:tr w14:paraId="18047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2348" w:type="dxa"/>
            <w:tcBorders>
              <w:left w:val="single" w:color="000000" w:sz="4" w:space="0"/>
            </w:tcBorders>
            <w:noWrap w:val="0"/>
            <w:vAlign w:val="center"/>
          </w:tcPr>
          <w:p w14:paraId="2859819D">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水泥生产线</w:t>
            </w:r>
          </w:p>
        </w:tc>
        <w:tc>
          <w:tcPr>
            <w:tcW w:w="2500" w:type="dxa"/>
            <w:noWrap w:val="0"/>
            <w:vAlign w:val="center"/>
          </w:tcPr>
          <w:p w14:paraId="0B66CAB2">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日产量</w:t>
            </w:r>
            <w:r>
              <w:rPr>
                <w:rFonts w:hint="eastAsia" w:ascii="仿宋_GB2312" w:hAnsi="Calibri" w:eastAsia="仿宋_GB2312" w:cs="Times New Roman"/>
                <w:b w:val="0"/>
                <w:bCs w:val="0"/>
                <w:color w:val="auto"/>
                <w:kern w:val="44"/>
                <w:sz w:val="24"/>
                <w:szCs w:val="24"/>
                <w:lang w:val="en-US" w:eastAsia="zh-CN" w:bidi="ar"/>
              </w:rPr>
              <w:tab/>
            </w:r>
            <w:r>
              <w:rPr>
                <w:rFonts w:hint="eastAsia" w:ascii="仿宋_GB2312" w:hAnsi="Calibri" w:eastAsia="仿宋_GB2312" w:cs="Times New Roman"/>
                <w:b w:val="0"/>
                <w:bCs w:val="0"/>
                <w:color w:val="auto"/>
                <w:kern w:val="44"/>
                <w:sz w:val="24"/>
                <w:szCs w:val="24"/>
                <w:lang w:val="en-US" w:eastAsia="zh-CN" w:bidi="ar"/>
              </w:rPr>
              <w:t>吨</w:t>
            </w:r>
          </w:p>
        </w:tc>
        <w:tc>
          <w:tcPr>
            <w:tcW w:w="2276" w:type="dxa"/>
            <w:noWrap w:val="0"/>
            <w:vAlign w:val="center"/>
          </w:tcPr>
          <w:p w14:paraId="7B6913E3">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3000 以上</w:t>
            </w:r>
          </w:p>
        </w:tc>
        <w:tc>
          <w:tcPr>
            <w:tcW w:w="1796" w:type="dxa"/>
            <w:tcBorders>
              <w:right w:val="single" w:color="000000" w:sz="4" w:space="0"/>
            </w:tcBorders>
            <w:noWrap w:val="0"/>
            <w:vAlign w:val="center"/>
          </w:tcPr>
          <w:p w14:paraId="164E1B8F">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熟料</w:t>
            </w:r>
          </w:p>
        </w:tc>
      </w:tr>
      <w:tr w14:paraId="25E82E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2348" w:type="dxa"/>
            <w:tcBorders>
              <w:left w:val="single" w:color="000000" w:sz="4" w:space="0"/>
            </w:tcBorders>
            <w:noWrap w:val="0"/>
            <w:vAlign w:val="center"/>
          </w:tcPr>
          <w:p w14:paraId="1F356FF1">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玻璃生产线</w:t>
            </w:r>
          </w:p>
        </w:tc>
        <w:tc>
          <w:tcPr>
            <w:tcW w:w="2500" w:type="dxa"/>
            <w:noWrap w:val="0"/>
            <w:vAlign w:val="center"/>
          </w:tcPr>
          <w:p w14:paraId="718A45BF">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日产量</w:t>
            </w:r>
            <w:r>
              <w:rPr>
                <w:rFonts w:hint="eastAsia" w:ascii="仿宋_GB2312" w:hAnsi="Calibri" w:eastAsia="仿宋_GB2312" w:cs="Times New Roman"/>
                <w:b w:val="0"/>
                <w:bCs w:val="0"/>
                <w:color w:val="auto"/>
                <w:kern w:val="44"/>
                <w:sz w:val="24"/>
                <w:szCs w:val="24"/>
                <w:lang w:val="en-US" w:eastAsia="zh-CN" w:bidi="ar"/>
              </w:rPr>
              <w:tab/>
            </w:r>
            <w:r>
              <w:rPr>
                <w:rFonts w:hint="eastAsia" w:ascii="仿宋_GB2312" w:hAnsi="Calibri" w:eastAsia="仿宋_GB2312" w:cs="Times New Roman"/>
                <w:b w:val="0"/>
                <w:bCs w:val="0"/>
                <w:color w:val="auto"/>
                <w:kern w:val="44"/>
                <w:sz w:val="24"/>
                <w:szCs w:val="24"/>
                <w:lang w:val="en-US" w:eastAsia="zh-CN" w:bidi="ar"/>
              </w:rPr>
              <w:t>吨</w:t>
            </w:r>
          </w:p>
        </w:tc>
        <w:tc>
          <w:tcPr>
            <w:tcW w:w="2276" w:type="dxa"/>
            <w:noWrap w:val="0"/>
            <w:vAlign w:val="center"/>
          </w:tcPr>
          <w:p w14:paraId="4627A75C">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300 以上</w:t>
            </w:r>
          </w:p>
        </w:tc>
        <w:tc>
          <w:tcPr>
            <w:tcW w:w="1796" w:type="dxa"/>
            <w:tcBorders>
              <w:right w:val="single" w:color="000000" w:sz="4" w:space="0"/>
            </w:tcBorders>
            <w:noWrap w:val="0"/>
            <w:vAlign w:val="center"/>
          </w:tcPr>
          <w:p w14:paraId="5B68388D">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浮法</w:t>
            </w:r>
          </w:p>
        </w:tc>
      </w:tr>
      <w:tr w14:paraId="507496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8" w:hRule="atLeast"/>
        </w:trPr>
        <w:tc>
          <w:tcPr>
            <w:tcW w:w="2348" w:type="dxa"/>
            <w:tcBorders>
              <w:left w:val="single" w:color="000000" w:sz="4" w:space="0"/>
            </w:tcBorders>
            <w:noWrap w:val="0"/>
            <w:vAlign w:val="center"/>
          </w:tcPr>
          <w:p w14:paraId="43A41A81">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其他工程</w:t>
            </w:r>
          </w:p>
        </w:tc>
        <w:tc>
          <w:tcPr>
            <w:tcW w:w="2500" w:type="dxa"/>
            <w:noWrap w:val="0"/>
            <w:vAlign w:val="center"/>
          </w:tcPr>
          <w:p w14:paraId="5F2F2EA3">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投资</w:t>
            </w:r>
            <w:r>
              <w:rPr>
                <w:rFonts w:hint="eastAsia" w:ascii="仿宋_GB2312" w:hAnsi="Calibri" w:eastAsia="仿宋_GB2312" w:cs="Times New Roman"/>
                <w:b w:val="0"/>
                <w:bCs w:val="0"/>
                <w:color w:val="auto"/>
                <w:kern w:val="44"/>
                <w:sz w:val="24"/>
                <w:szCs w:val="24"/>
                <w:lang w:val="en-US" w:eastAsia="zh-CN" w:bidi="ar"/>
              </w:rPr>
              <w:tab/>
            </w:r>
            <w:r>
              <w:rPr>
                <w:rFonts w:hint="eastAsia" w:ascii="仿宋_GB2312" w:hAnsi="Calibri" w:eastAsia="仿宋_GB2312" w:cs="Times New Roman"/>
                <w:b w:val="0"/>
                <w:bCs w:val="0"/>
                <w:color w:val="auto"/>
                <w:kern w:val="44"/>
                <w:sz w:val="24"/>
                <w:szCs w:val="24"/>
                <w:lang w:val="en-US" w:eastAsia="zh-CN" w:bidi="ar"/>
              </w:rPr>
              <w:t>亿元</w:t>
            </w:r>
          </w:p>
        </w:tc>
        <w:tc>
          <w:tcPr>
            <w:tcW w:w="2276" w:type="dxa"/>
            <w:noWrap w:val="0"/>
            <w:vAlign w:val="center"/>
          </w:tcPr>
          <w:p w14:paraId="6DF93DC6">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0.5以上</w:t>
            </w:r>
          </w:p>
        </w:tc>
        <w:tc>
          <w:tcPr>
            <w:tcW w:w="1796" w:type="dxa"/>
            <w:tcBorders>
              <w:right w:val="single" w:color="000000" w:sz="4" w:space="0"/>
            </w:tcBorders>
            <w:noWrap w:val="0"/>
            <w:vAlign w:val="center"/>
          </w:tcPr>
          <w:p w14:paraId="0B425B92">
            <w:pPr>
              <w:spacing w:line="240" w:lineRule="auto"/>
              <w:jc w:val="center"/>
              <w:rPr>
                <w:rFonts w:hint="eastAsia" w:ascii="仿宋_GB2312" w:hAnsi="Calibri" w:eastAsia="仿宋_GB2312" w:cs="Times New Roman"/>
                <w:b w:val="0"/>
                <w:bCs w:val="0"/>
                <w:color w:val="auto"/>
                <w:kern w:val="44"/>
                <w:sz w:val="24"/>
                <w:szCs w:val="24"/>
                <w:lang w:val="en-US" w:eastAsia="zh-CN" w:bidi="ar"/>
              </w:rPr>
            </w:pPr>
          </w:p>
        </w:tc>
      </w:tr>
    </w:tbl>
    <w:p w14:paraId="41E099F9">
      <w:pPr>
        <w:pStyle w:val="36"/>
        <w:numPr>
          <w:ilvl w:val="0"/>
          <w:numId w:val="0"/>
        </w:numPr>
        <w:tabs>
          <w:tab w:val="left" w:pos="827"/>
        </w:tabs>
        <w:spacing w:before="96" w:after="0" w:line="240" w:lineRule="auto"/>
        <w:ind w:right="0" w:rightChars="0"/>
        <w:jc w:val="left"/>
        <w:rPr>
          <w:rFonts w:hint="eastAsia" w:ascii="仿宋_GB2312" w:hAnsi="Times New Roman" w:eastAsia="仿宋_GB2312" w:cs="Times New Roman"/>
          <w:b/>
          <w:bCs/>
          <w:kern w:val="2"/>
          <w:sz w:val="24"/>
          <w:szCs w:val="24"/>
          <w:lang w:val="en-US" w:eastAsia="zh-CN" w:bidi="ar-SA"/>
        </w:rPr>
      </w:pPr>
      <w:r>
        <w:rPr>
          <w:rFonts w:hint="eastAsia" w:ascii="仿宋_GB2312" w:hAnsi="Times New Roman" w:eastAsia="仿宋_GB2312" w:cs="Times New Roman"/>
          <w:b/>
          <w:bCs/>
          <w:kern w:val="2"/>
          <w:sz w:val="24"/>
          <w:szCs w:val="24"/>
          <w:lang w:val="en-US" w:eastAsia="zh-CN" w:bidi="ar-SA"/>
        </w:rPr>
        <w:t>7.其他工业工程</w:t>
      </w:r>
    </w:p>
    <w:tbl>
      <w:tblPr>
        <w:tblStyle w:val="13"/>
        <w:tblW w:w="8910" w:type="dxa"/>
        <w:tblInd w:w="-1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38"/>
        <w:gridCol w:w="2489"/>
        <w:gridCol w:w="2287"/>
        <w:gridCol w:w="1796"/>
      </w:tblGrid>
      <w:tr w14:paraId="25E54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2338" w:type="dxa"/>
            <w:tcBorders>
              <w:left w:val="single" w:color="000000" w:sz="4" w:space="0"/>
              <w:bottom w:val="single" w:color="auto" w:sz="4" w:space="0"/>
            </w:tcBorders>
            <w:noWrap w:val="0"/>
            <w:vAlign w:val="center"/>
          </w:tcPr>
          <w:p w14:paraId="6233F055">
            <w:pPr>
              <w:spacing w:line="240" w:lineRule="auto"/>
              <w:jc w:val="center"/>
              <w:rPr>
                <w:rFonts w:hint="eastAsia" w:ascii="仿宋_GB2312" w:hAnsi="Calibri" w:eastAsia="仿宋_GB2312" w:cs="Times New Roman"/>
                <w:b w:val="0"/>
                <w:bCs w:val="0"/>
                <w:color w:val="C00000"/>
                <w:kern w:val="44"/>
                <w:sz w:val="24"/>
                <w:szCs w:val="24"/>
                <w:lang w:val="en-US" w:eastAsia="zh-CN" w:bidi="ar"/>
              </w:rPr>
            </w:pPr>
            <w:r>
              <w:rPr>
                <w:rFonts w:hint="eastAsia" w:ascii="仿宋_GB2312" w:eastAsia="仿宋_GB2312"/>
                <w:b/>
                <w:bCs/>
                <w:sz w:val="24"/>
                <w:szCs w:val="24"/>
              </w:rPr>
              <w:t>行业项目</w:t>
            </w:r>
          </w:p>
        </w:tc>
        <w:tc>
          <w:tcPr>
            <w:tcW w:w="2489" w:type="dxa"/>
            <w:tcBorders>
              <w:bottom w:val="single" w:color="auto" w:sz="4" w:space="0"/>
            </w:tcBorders>
            <w:noWrap w:val="0"/>
            <w:vAlign w:val="center"/>
          </w:tcPr>
          <w:p w14:paraId="1CD127F3">
            <w:pPr>
              <w:spacing w:line="240" w:lineRule="auto"/>
              <w:jc w:val="center"/>
              <w:rPr>
                <w:rFonts w:hint="eastAsia" w:ascii="仿宋_GB2312" w:hAnsi="Calibri" w:eastAsia="仿宋_GB2312" w:cs="Times New Roman"/>
                <w:b w:val="0"/>
                <w:bCs w:val="0"/>
                <w:color w:val="C00000"/>
                <w:kern w:val="44"/>
                <w:sz w:val="24"/>
                <w:szCs w:val="24"/>
                <w:lang w:val="en-US" w:eastAsia="zh-CN" w:bidi="ar"/>
              </w:rPr>
            </w:pPr>
            <w:r>
              <w:rPr>
                <w:rFonts w:hint="eastAsia" w:ascii="仿宋_GB2312" w:eastAsia="仿宋_GB2312"/>
                <w:b/>
                <w:bCs/>
                <w:sz w:val="24"/>
                <w:szCs w:val="24"/>
              </w:rPr>
              <w:t>计量单位</w:t>
            </w:r>
          </w:p>
        </w:tc>
        <w:tc>
          <w:tcPr>
            <w:tcW w:w="2287" w:type="dxa"/>
            <w:tcBorders>
              <w:bottom w:val="single" w:color="auto" w:sz="4" w:space="0"/>
            </w:tcBorders>
            <w:noWrap w:val="0"/>
            <w:vAlign w:val="center"/>
          </w:tcPr>
          <w:p w14:paraId="593E862B">
            <w:pPr>
              <w:spacing w:line="240" w:lineRule="auto"/>
              <w:jc w:val="center"/>
              <w:rPr>
                <w:rFonts w:hint="eastAsia" w:ascii="仿宋_GB2312" w:hAnsi="Calibri" w:eastAsia="仿宋_GB2312" w:cs="Times New Roman"/>
                <w:b w:val="0"/>
                <w:bCs w:val="0"/>
                <w:color w:val="C00000"/>
                <w:kern w:val="44"/>
                <w:sz w:val="24"/>
                <w:szCs w:val="24"/>
                <w:lang w:val="en-US" w:eastAsia="zh-CN" w:bidi="ar"/>
              </w:rPr>
            </w:pPr>
            <w:r>
              <w:rPr>
                <w:rFonts w:hint="eastAsia" w:ascii="仿宋_GB2312" w:eastAsia="仿宋_GB2312"/>
                <w:b/>
                <w:bCs/>
                <w:sz w:val="24"/>
                <w:szCs w:val="24"/>
              </w:rPr>
              <w:t>规模（及以上）</w:t>
            </w:r>
          </w:p>
        </w:tc>
        <w:tc>
          <w:tcPr>
            <w:tcW w:w="1796" w:type="dxa"/>
            <w:tcBorders>
              <w:bottom w:val="single" w:color="auto" w:sz="4" w:space="0"/>
              <w:right w:val="single" w:color="000000" w:sz="4" w:space="0"/>
            </w:tcBorders>
            <w:noWrap w:val="0"/>
            <w:vAlign w:val="center"/>
          </w:tcPr>
          <w:p w14:paraId="1FD66D6C">
            <w:pPr>
              <w:spacing w:line="240" w:lineRule="auto"/>
              <w:jc w:val="center"/>
              <w:rPr>
                <w:rFonts w:hint="eastAsia" w:ascii="仿宋_GB2312" w:hAnsi="Times New Roman" w:eastAsia="仿宋_GB2312" w:cs="Times New Roman"/>
                <w:b/>
                <w:bCs/>
                <w:kern w:val="2"/>
                <w:sz w:val="24"/>
                <w:szCs w:val="24"/>
                <w:lang w:val="en-US" w:eastAsia="zh-CN" w:bidi="ar-SA"/>
              </w:rPr>
            </w:pPr>
            <w:r>
              <w:rPr>
                <w:rFonts w:hint="eastAsia" w:ascii="仿宋_GB2312" w:eastAsia="仿宋_GB2312"/>
                <w:b/>
                <w:bCs/>
                <w:sz w:val="24"/>
                <w:szCs w:val="24"/>
              </w:rPr>
              <w:t>备注</w:t>
            </w:r>
          </w:p>
        </w:tc>
      </w:tr>
      <w:tr w14:paraId="55FB34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338" w:type="dxa"/>
            <w:tcBorders>
              <w:top w:val="single" w:color="auto" w:sz="4" w:space="0"/>
              <w:left w:val="single" w:color="000000" w:sz="4" w:space="0"/>
            </w:tcBorders>
            <w:noWrap w:val="0"/>
            <w:vAlign w:val="center"/>
          </w:tcPr>
          <w:p w14:paraId="39B1FB9C">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机械、轻工业等</w:t>
            </w:r>
          </w:p>
        </w:tc>
        <w:tc>
          <w:tcPr>
            <w:tcW w:w="2489" w:type="dxa"/>
            <w:tcBorders>
              <w:top w:val="single" w:color="auto" w:sz="4" w:space="0"/>
            </w:tcBorders>
            <w:noWrap w:val="0"/>
            <w:vAlign w:val="center"/>
          </w:tcPr>
          <w:p w14:paraId="0683692C">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投资</w:t>
            </w:r>
            <w:r>
              <w:rPr>
                <w:rFonts w:hint="eastAsia" w:ascii="仿宋_GB2312" w:hAnsi="Calibri" w:eastAsia="仿宋_GB2312" w:cs="Times New Roman"/>
                <w:b w:val="0"/>
                <w:bCs w:val="0"/>
                <w:color w:val="auto"/>
                <w:kern w:val="44"/>
                <w:sz w:val="24"/>
                <w:szCs w:val="24"/>
                <w:lang w:val="en-US" w:eastAsia="zh-CN" w:bidi="ar"/>
              </w:rPr>
              <w:tab/>
            </w:r>
            <w:r>
              <w:rPr>
                <w:rFonts w:hint="eastAsia" w:ascii="仿宋_GB2312" w:hAnsi="Calibri" w:eastAsia="仿宋_GB2312" w:cs="Times New Roman"/>
                <w:b w:val="0"/>
                <w:bCs w:val="0"/>
                <w:color w:val="auto"/>
                <w:kern w:val="44"/>
                <w:sz w:val="24"/>
                <w:szCs w:val="24"/>
                <w:lang w:val="en-US" w:eastAsia="zh-CN" w:bidi="ar"/>
              </w:rPr>
              <w:t>亿元</w:t>
            </w:r>
          </w:p>
        </w:tc>
        <w:tc>
          <w:tcPr>
            <w:tcW w:w="2287" w:type="dxa"/>
            <w:tcBorders>
              <w:top w:val="single" w:color="auto" w:sz="4" w:space="0"/>
            </w:tcBorders>
            <w:noWrap w:val="0"/>
            <w:vAlign w:val="center"/>
          </w:tcPr>
          <w:p w14:paraId="2A6A1652">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0.5以上</w:t>
            </w:r>
          </w:p>
        </w:tc>
        <w:tc>
          <w:tcPr>
            <w:tcW w:w="1796" w:type="dxa"/>
            <w:tcBorders>
              <w:top w:val="single" w:color="auto" w:sz="4" w:space="0"/>
              <w:right w:val="single" w:color="000000" w:sz="4" w:space="0"/>
            </w:tcBorders>
            <w:noWrap w:val="0"/>
            <w:vAlign w:val="center"/>
          </w:tcPr>
          <w:p w14:paraId="4CA990A4">
            <w:pPr>
              <w:spacing w:line="240" w:lineRule="auto"/>
              <w:jc w:val="center"/>
              <w:rPr>
                <w:rFonts w:hint="eastAsia" w:ascii="仿宋_GB2312" w:hAnsi="Calibri" w:eastAsia="仿宋_GB2312" w:cs="Times New Roman"/>
                <w:b w:val="0"/>
                <w:bCs w:val="0"/>
                <w:color w:val="auto"/>
                <w:kern w:val="44"/>
                <w:sz w:val="24"/>
                <w:szCs w:val="24"/>
                <w:lang w:val="en-US" w:eastAsia="zh-CN" w:bidi="ar"/>
              </w:rPr>
            </w:pPr>
          </w:p>
        </w:tc>
      </w:tr>
    </w:tbl>
    <w:p w14:paraId="311621CC">
      <w:pPr>
        <w:numPr>
          <w:ilvl w:val="0"/>
          <w:numId w:val="1"/>
        </w:numPr>
        <w:adjustRightInd w:val="0"/>
        <w:snapToGrid w:val="0"/>
        <w:spacing w:line="600" w:lineRule="exact"/>
        <w:ind w:left="0" w:leftChars="0" w:firstLine="0" w:firstLineChars="0"/>
        <w:rPr>
          <w:rFonts w:hint="default" w:ascii="仿宋_GB2312" w:hAnsi="Times New Roman" w:eastAsia="仿宋_GB2312" w:cs="Times New Roman"/>
          <w:b/>
          <w:bCs/>
          <w:sz w:val="30"/>
          <w:szCs w:val="30"/>
          <w:lang w:val="en-US" w:eastAsia="zh-CN"/>
        </w:rPr>
      </w:pPr>
      <w:r>
        <w:rPr>
          <w:rFonts w:hint="eastAsia" w:ascii="仿宋_GB2312" w:hAnsi="Times New Roman" w:eastAsia="仿宋_GB2312" w:cs="Times New Roman"/>
          <w:b/>
          <w:bCs/>
          <w:sz w:val="30"/>
          <w:szCs w:val="30"/>
          <w:lang w:val="en-US" w:eastAsia="zh-CN"/>
        </w:rPr>
        <w:t>交通工程</w:t>
      </w:r>
    </w:p>
    <w:p w14:paraId="6463704E">
      <w:pPr>
        <w:pStyle w:val="36"/>
        <w:numPr>
          <w:ilvl w:val="0"/>
          <w:numId w:val="0"/>
        </w:numPr>
        <w:tabs>
          <w:tab w:val="left" w:pos="827"/>
        </w:tabs>
        <w:spacing w:before="96" w:after="0" w:line="240" w:lineRule="auto"/>
        <w:ind w:right="0" w:rightChars="0"/>
        <w:jc w:val="left"/>
        <w:rPr>
          <w:rFonts w:hint="eastAsia" w:ascii="仿宋_GB2312" w:hAnsi="Times New Roman" w:eastAsia="仿宋_GB2312" w:cs="Times New Roman"/>
          <w:b/>
          <w:bCs/>
          <w:kern w:val="2"/>
          <w:sz w:val="24"/>
          <w:szCs w:val="24"/>
          <w:lang w:val="en-US" w:eastAsia="zh-CN" w:bidi="ar-SA"/>
        </w:rPr>
      </w:pPr>
      <w:r>
        <w:rPr>
          <w:rFonts w:hint="eastAsia" w:ascii="仿宋_GB2312" w:hAnsi="Times New Roman" w:eastAsia="仿宋_GB2312" w:cs="Times New Roman"/>
          <w:b/>
          <w:bCs/>
          <w:kern w:val="2"/>
          <w:sz w:val="24"/>
          <w:szCs w:val="24"/>
          <w:lang w:val="en-US" w:eastAsia="zh-CN" w:bidi="ar-SA"/>
        </w:rPr>
        <w:t>1.公路工程</w:t>
      </w:r>
    </w:p>
    <w:tbl>
      <w:tblPr>
        <w:tblStyle w:val="13"/>
        <w:tblW w:w="8920" w:type="dxa"/>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59"/>
        <w:gridCol w:w="2022"/>
        <w:gridCol w:w="2323"/>
        <w:gridCol w:w="2216"/>
      </w:tblGrid>
      <w:tr w14:paraId="432D5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2359" w:type="dxa"/>
            <w:tcBorders>
              <w:tl2br w:val="nil"/>
              <w:tr2bl w:val="nil"/>
            </w:tcBorders>
            <w:noWrap w:val="0"/>
            <w:vAlign w:val="center"/>
          </w:tcPr>
          <w:p w14:paraId="6D813F14">
            <w:pPr>
              <w:spacing w:line="240" w:lineRule="auto"/>
              <w:jc w:val="center"/>
              <w:rPr>
                <w:rFonts w:hint="eastAsia" w:ascii="仿宋_GB2312" w:hAnsi="Calibri" w:eastAsia="仿宋_GB2312" w:cs="Times New Roman"/>
                <w:b w:val="0"/>
                <w:bCs w:val="0"/>
                <w:color w:val="C00000"/>
                <w:kern w:val="44"/>
                <w:sz w:val="24"/>
                <w:szCs w:val="24"/>
                <w:lang w:val="en-US" w:eastAsia="zh-CN" w:bidi="ar"/>
              </w:rPr>
            </w:pPr>
            <w:r>
              <w:rPr>
                <w:rFonts w:hint="eastAsia" w:ascii="仿宋_GB2312" w:eastAsia="仿宋_GB2312"/>
                <w:b/>
                <w:bCs/>
                <w:sz w:val="24"/>
                <w:szCs w:val="24"/>
              </w:rPr>
              <w:t>行业项目</w:t>
            </w:r>
          </w:p>
        </w:tc>
        <w:tc>
          <w:tcPr>
            <w:tcW w:w="2022" w:type="dxa"/>
            <w:tcBorders>
              <w:tl2br w:val="nil"/>
              <w:tr2bl w:val="nil"/>
            </w:tcBorders>
            <w:noWrap w:val="0"/>
            <w:vAlign w:val="center"/>
          </w:tcPr>
          <w:p w14:paraId="66103D0A">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eastAsia="仿宋_GB2312"/>
                <w:b/>
                <w:bCs/>
                <w:color w:val="auto"/>
                <w:sz w:val="24"/>
                <w:szCs w:val="24"/>
              </w:rPr>
              <w:t>计量单位</w:t>
            </w:r>
          </w:p>
        </w:tc>
        <w:tc>
          <w:tcPr>
            <w:tcW w:w="2323" w:type="dxa"/>
            <w:tcBorders>
              <w:tl2br w:val="nil"/>
              <w:tr2bl w:val="nil"/>
            </w:tcBorders>
            <w:noWrap w:val="0"/>
            <w:vAlign w:val="center"/>
          </w:tcPr>
          <w:p w14:paraId="7EF3831E">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eastAsia="仿宋_GB2312"/>
                <w:b/>
                <w:bCs/>
                <w:color w:val="auto"/>
                <w:sz w:val="24"/>
                <w:szCs w:val="24"/>
              </w:rPr>
              <w:t>规模（及以上）</w:t>
            </w:r>
          </w:p>
        </w:tc>
        <w:tc>
          <w:tcPr>
            <w:tcW w:w="2216" w:type="dxa"/>
            <w:tcBorders>
              <w:tl2br w:val="nil"/>
              <w:tr2bl w:val="nil"/>
            </w:tcBorders>
            <w:noWrap w:val="0"/>
            <w:vAlign w:val="center"/>
          </w:tcPr>
          <w:p w14:paraId="06C522E2">
            <w:pPr>
              <w:spacing w:line="240" w:lineRule="auto"/>
              <w:jc w:val="center"/>
              <w:rPr>
                <w:rFonts w:hint="eastAsia" w:ascii="仿宋_GB2312" w:hAnsi="Times New Roman" w:eastAsia="仿宋_GB2312" w:cs="Times New Roman"/>
                <w:b/>
                <w:bCs/>
                <w:kern w:val="2"/>
                <w:sz w:val="24"/>
                <w:szCs w:val="24"/>
                <w:lang w:val="en-US" w:eastAsia="zh-CN" w:bidi="ar-SA"/>
              </w:rPr>
            </w:pPr>
            <w:r>
              <w:rPr>
                <w:rFonts w:hint="eastAsia" w:ascii="仿宋_GB2312" w:eastAsia="仿宋_GB2312"/>
                <w:b/>
                <w:bCs/>
                <w:sz w:val="24"/>
                <w:szCs w:val="24"/>
              </w:rPr>
              <w:t>备注</w:t>
            </w:r>
          </w:p>
        </w:tc>
      </w:tr>
      <w:tr w14:paraId="2DD284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2359" w:type="dxa"/>
            <w:tcBorders>
              <w:tl2br w:val="nil"/>
              <w:tr2bl w:val="nil"/>
            </w:tcBorders>
            <w:noWrap w:val="0"/>
            <w:vAlign w:val="center"/>
          </w:tcPr>
          <w:p w14:paraId="0D489BEC">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高速公路</w:t>
            </w:r>
          </w:p>
        </w:tc>
        <w:tc>
          <w:tcPr>
            <w:tcW w:w="2022" w:type="dxa"/>
            <w:tcBorders>
              <w:tl2br w:val="nil"/>
              <w:tr2bl w:val="nil"/>
            </w:tcBorders>
            <w:noWrap w:val="0"/>
            <w:vAlign w:val="center"/>
          </w:tcPr>
          <w:p w14:paraId="56E0ED9B">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长度</w:t>
            </w:r>
            <w:r>
              <w:rPr>
                <w:rFonts w:hint="eastAsia" w:ascii="仿宋_GB2312" w:hAnsi="Calibri" w:eastAsia="仿宋_GB2312" w:cs="Times New Roman"/>
                <w:b w:val="0"/>
                <w:bCs w:val="0"/>
                <w:color w:val="auto"/>
                <w:kern w:val="44"/>
                <w:sz w:val="24"/>
                <w:szCs w:val="24"/>
                <w:lang w:val="en-US" w:eastAsia="zh-CN" w:bidi="ar"/>
              </w:rPr>
              <w:tab/>
            </w:r>
            <w:r>
              <w:rPr>
                <w:rFonts w:hint="eastAsia" w:ascii="仿宋_GB2312" w:hAnsi="Calibri" w:eastAsia="仿宋_GB2312" w:cs="Times New Roman"/>
                <w:b w:val="0"/>
                <w:bCs w:val="0"/>
                <w:color w:val="auto"/>
                <w:kern w:val="44"/>
                <w:sz w:val="24"/>
                <w:szCs w:val="24"/>
                <w:lang w:val="en-US" w:eastAsia="zh-CN" w:bidi="ar"/>
              </w:rPr>
              <w:t>公里</w:t>
            </w:r>
          </w:p>
        </w:tc>
        <w:tc>
          <w:tcPr>
            <w:tcW w:w="2323" w:type="dxa"/>
            <w:tcBorders>
              <w:tl2br w:val="nil"/>
              <w:tr2bl w:val="nil"/>
            </w:tcBorders>
            <w:noWrap w:val="0"/>
            <w:vAlign w:val="center"/>
          </w:tcPr>
          <w:p w14:paraId="66365707">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10 以上</w:t>
            </w:r>
          </w:p>
        </w:tc>
        <w:tc>
          <w:tcPr>
            <w:tcW w:w="2216" w:type="dxa"/>
            <w:tcBorders>
              <w:tl2br w:val="nil"/>
              <w:tr2bl w:val="nil"/>
            </w:tcBorders>
            <w:noWrap w:val="0"/>
            <w:vAlign w:val="center"/>
          </w:tcPr>
          <w:p w14:paraId="7E1DC8E5">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连续，整体工程</w:t>
            </w:r>
          </w:p>
        </w:tc>
      </w:tr>
      <w:tr w14:paraId="190F0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2359" w:type="dxa"/>
            <w:tcBorders>
              <w:tl2br w:val="nil"/>
              <w:tr2bl w:val="nil"/>
            </w:tcBorders>
            <w:noWrap w:val="0"/>
            <w:vAlign w:val="center"/>
          </w:tcPr>
          <w:p w14:paraId="05F7357F">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一级公路</w:t>
            </w:r>
          </w:p>
        </w:tc>
        <w:tc>
          <w:tcPr>
            <w:tcW w:w="2022" w:type="dxa"/>
            <w:tcBorders>
              <w:tl2br w:val="nil"/>
              <w:tr2bl w:val="nil"/>
            </w:tcBorders>
            <w:noWrap w:val="0"/>
            <w:vAlign w:val="center"/>
          </w:tcPr>
          <w:p w14:paraId="6B91AC31">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长度</w:t>
            </w:r>
            <w:r>
              <w:rPr>
                <w:rFonts w:hint="eastAsia" w:ascii="仿宋_GB2312" w:hAnsi="Calibri" w:eastAsia="仿宋_GB2312" w:cs="Times New Roman"/>
                <w:b w:val="0"/>
                <w:bCs w:val="0"/>
                <w:color w:val="auto"/>
                <w:kern w:val="44"/>
                <w:sz w:val="24"/>
                <w:szCs w:val="24"/>
                <w:lang w:val="en-US" w:eastAsia="zh-CN" w:bidi="ar"/>
              </w:rPr>
              <w:tab/>
            </w:r>
            <w:r>
              <w:rPr>
                <w:rFonts w:hint="eastAsia" w:ascii="仿宋_GB2312" w:hAnsi="Calibri" w:eastAsia="仿宋_GB2312" w:cs="Times New Roman"/>
                <w:b w:val="0"/>
                <w:bCs w:val="0"/>
                <w:color w:val="auto"/>
                <w:kern w:val="44"/>
                <w:sz w:val="24"/>
                <w:szCs w:val="24"/>
                <w:lang w:val="en-US" w:eastAsia="zh-CN" w:bidi="ar"/>
              </w:rPr>
              <w:t>公里</w:t>
            </w:r>
          </w:p>
        </w:tc>
        <w:tc>
          <w:tcPr>
            <w:tcW w:w="2323" w:type="dxa"/>
            <w:tcBorders>
              <w:tl2br w:val="nil"/>
              <w:tr2bl w:val="nil"/>
            </w:tcBorders>
            <w:noWrap w:val="0"/>
            <w:vAlign w:val="center"/>
          </w:tcPr>
          <w:p w14:paraId="783CEFDE">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20 以上</w:t>
            </w:r>
          </w:p>
        </w:tc>
        <w:tc>
          <w:tcPr>
            <w:tcW w:w="2216" w:type="dxa"/>
            <w:tcBorders>
              <w:tl2br w:val="nil"/>
              <w:tr2bl w:val="nil"/>
            </w:tcBorders>
            <w:noWrap w:val="0"/>
            <w:vAlign w:val="center"/>
          </w:tcPr>
          <w:p w14:paraId="64E2087A">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连续，整体工程</w:t>
            </w:r>
          </w:p>
        </w:tc>
      </w:tr>
      <w:tr w14:paraId="69AC0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2359" w:type="dxa"/>
            <w:tcBorders>
              <w:tl2br w:val="nil"/>
              <w:tr2bl w:val="nil"/>
            </w:tcBorders>
            <w:noWrap w:val="0"/>
            <w:vAlign w:val="center"/>
          </w:tcPr>
          <w:p w14:paraId="258710E0">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二级公路</w:t>
            </w:r>
          </w:p>
        </w:tc>
        <w:tc>
          <w:tcPr>
            <w:tcW w:w="2022" w:type="dxa"/>
            <w:tcBorders>
              <w:tl2br w:val="nil"/>
              <w:tr2bl w:val="nil"/>
            </w:tcBorders>
            <w:noWrap w:val="0"/>
            <w:vAlign w:val="center"/>
          </w:tcPr>
          <w:p w14:paraId="4D4D20C6">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长度</w:t>
            </w:r>
            <w:r>
              <w:rPr>
                <w:rFonts w:hint="eastAsia" w:ascii="仿宋_GB2312" w:hAnsi="Calibri" w:eastAsia="仿宋_GB2312" w:cs="Times New Roman"/>
                <w:b w:val="0"/>
                <w:bCs w:val="0"/>
                <w:color w:val="auto"/>
                <w:kern w:val="44"/>
                <w:sz w:val="24"/>
                <w:szCs w:val="24"/>
                <w:lang w:val="en-US" w:eastAsia="zh-CN" w:bidi="ar"/>
              </w:rPr>
              <w:tab/>
            </w:r>
            <w:r>
              <w:rPr>
                <w:rFonts w:hint="eastAsia" w:ascii="仿宋_GB2312" w:hAnsi="Calibri" w:eastAsia="仿宋_GB2312" w:cs="Times New Roman"/>
                <w:b w:val="0"/>
                <w:bCs w:val="0"/>
                <w:color w:val="auto"/>
                <w:kern w:val="44"/>
                <w:sz w:val="24"/>
                <w:szCs w:val="24"/>
                <w:lang w:val="en-US" w:eastAsia="zh-CN" w:bidi="ar"/>
              </w:rPr>
              <w:t>公里</w:t>
            </w:r>
          </w:p>
        </w:tc>
        <w:tc>
          <w:tcPr>
            <w:tcW w:w="2323" w:type="dxa"/>
            <w:tcBorders>
              <w:tl2br w:val="nil"/>
              <w:tr2bl w:val="nil"/>
            </w:tcBorders>
            <w:noWrap w:val="0"/>
            <w:vAlign w:val="center"/>
          </w:tcPr>
          <w:p w14:paraId="36A3B39F">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20 以上</w:t>
            </w:r>
          </w:p>
        </w:tc>
        <w:tc>
          <w:tcPr>
            <w:tcW w:w="2216" w:type="dxa"/>
            <w:tcBorders>
              <w:tl2br w:val="nil"/>
              <w:tr2bl w:val="nil"/>
            </w:tcBorders>
            <w:noWrap w:val="0"/>
            <w:vAlign w:val="center"/>
          </w:tcPr>
          <w:p w14:paraId="0DFAFF88">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连续，整体工程</w:t>
            </w:r>
          </w:p>
        </w:tc>
      </w:tr>
      <w:tr w14:paraId="245284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2359" w:type="dxa"/>
            <w:tcBorders>
              <w:tl2br w:val="nil"/>
              <w:tr2bl w:val="nil"/>
            </w:tcBorders>
            <w:noWrap w:val="0"/>
            <w:vAlign w:val="center"/>
          </w:tcPr>
          <w:p w14:paraId="7FB0FDAA">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桥梁</w:t>
            </w:r>
          </w:p>
        </w:tc>
        <w:tc>
          <w:tcPr>
            <w:tcW w:w="2022" w:type="dxa"/>
            <w:tcBorders>
              <w:tl2br w:val="nil"/>
              <w:tr2bl w:val="nil"/>
            </w:tcBorders>
            <w:noWrap w:val="0"/>
            <w:vAlign w:val="center"/>
          </w:tcPr>
          <w:p w14:paraId="26189674">
            <w:pPr>
              <w:spacing w:line="240" w:lineRule="auto"/>
              <w:jc w:val="center"/>
              <w:rPr>
                <w:rFonts w:hint="eastAsia" w:ascii="仿宋_GB2312" w:hAnsi="Calibri" w:eastAsia="仿宋_GB2312" w:cs="Times New Roman"/>
                <w:b w:val="0"/>
                <w:bCs w:val="0"/>
                <w:color w:val="auto"/>
                <w:kern w:val="44"/>
                <w:sz w:val="24"/>
                <w:szCs w:val="24"/>
                <w:highlight w:val="none"/>
                <w:lang w:val="en-US" w:eastAsia="zh-CN" w:bidi="ar"/>
              </w:rPr>
            </w:pPr>
            <w:r>
              <w:rPr>
                <w:rFonts w:hint="eastAsia" w:ascii="仿宋_GB2312" w:hAnsi="Calibri" w:eastAsia="仿宋_GB2312" w:cs="Times New Roman"/>
                <w:b w:val="0"/>
                <w:bCs w:val="0"/>
                <w:color w:val="auto"/>
                <w:kern w:val="44"/>
                <w:sz w:val="24"/>
                <w:szCs w:val="24"/>
                <w:highlight w:val="none"/>
                <w:lang w:val="en-US" w:eastAsia="zh-CN" w:bidi="ar"/>
              </w:rPr>
              <w:t>单孔跨径</w:t>
            </w:r>
            <w:r>
              <w:rPr>
                <w:rFonts w:hint="eastAsia" w:ascii="仿宋_GB2312" w:hAnsi="Calibri" w:eastAsia="仿宋_GB2312" w:cs="Times New Roman"/>
                <w:b w:val="0"/>
                <w:bCs w:val="0"/>
                <w:color w:val="auto"/>
                <w:kern w:val="44"/>
                <w:sz w:val="24"/>
                <w:szCs w:val="24"/>
                <w:highlight w:val="none"/>
                <w:lang w:val="en-US" w:eastAsia="zh-CN" w:bidi="ar"/>
              </w:rPr>
              <w:tab/>
            </w:r>
            <w:r>
              <w:rPr>
                <w:rFonts w:hint="eastAsia" w:ascii="仿宋_GB2312" w:hAnsi="Calibri" w:eastAsia="仿宋_GB2312" w:cs="Times New Roman"/>
                <w:b w:val="0"/>
                <w:bCs w:val="0"/>
                <w:color w:val="auto"/>
                <w:kern w:val="44"/>
                <w:sz w:val="24"/>
                <w:szCs w:val="24"/>
                <w:highlight w:val="none"/>
                <w:lang w:val="en-US" w:eastAsia="zh-CN" w:bidi="ar"/>
              </w:rPr>
              <w:t>米</w:t>
            </w:r>
          </w:p>
          <w:p w14:paraId="78A8D58D">
            <w:pPr>
              <w:spacing w:line="240" w:lineRule="auto"/>
              <w:jc w:val="center"/>
              <w:rPr>
                <w:rFonts w:hint="default" w:ascii="仿宋_GB2312" w:hAnsi="Calibri" w:eastAsia="仿宋_GB2312" w:cs="Times New Roman"/>
                <w:b w:val="0"/>
                <w:bCs w:val="0"/>
                <w:color w:val="auto"/>
                <w:kern w:val="44"/>
                <w:sz w:val="24"/>
                <w:szCs w:val="24"/>
                <w:highlight w:val="none"/>
                <w:lang w:val="en-US" w:eastAsia="zh-CN" w:bidi="ar"/>
              </w:rPr>
            </w:pPr>
            <w:r>
              <w:rPr>
                <w:rFonts w:hint="eastAsia" w:ascii="仿宋_GB2312" w:hAnsi="Calibri" w:eastAsia="仿宋_GB2312" w:cs="Times New Roman"/>
                <w:b w:val="0"/>
                <w:bCs w:val="0"/>
                <w:color w:val="auto"/>
                <w:kern w:val="44"/>
                <w:sz w:val="24"/>
                <w:szCs w:val="24"/>
                <w:highlight w:val="none"/>
                <w:lang w:val="en-US" w:eastAsia="zh-CN" w:bidi="ar"/>
              </w:rPr>
              <w:t>或长度   米</w:t>
            </w:r>
          </w:p>
        </w:tc>
        <w:tc>
          <w:tcPr>
            <w:tcW w:w="2323" w:type="dxa"/>
            <w:tcBorders>
              <w:tl2br w:val="nil"/>
              <w:tr2bl w:val="nil"/>
            </w:tcBorders>
            <w:noWrap w:val="0"/>
            <w:vAlign w:val="center"/>
          </w:tcPr>
          <w:p w14:paraId="5B5BB8A0">
            <w:pPr>
              <w:spacing w:line="240" w:lineRule="auto"/>
              <w:jc w:val="center"/>
              <w:rPr>
                <w:rFonts w:hint="eastAsia" w:ascii="仿宋_GB2312" w:hAnsi="Calibri" w:eastAsia="仿宋_GB2312" w:cs="Times New Roman"/>
                <w:b w:val="0"/>
                <w:bCs w:val="0"/>
                <w:color w:val="auto"/>
                <w:kern w:val="44"/>
                <w:sz w:val="24"/>
                <w:szCs w:val="24"/>
                <w:highlight w:val="none"/>
                <w:lang w:val="en-US" w:eastAsia="zh-CN" w:bidi="ar"/>
              </w:rPr>
            </w:pPr>
            <w:r>
              <w:rPr>
                <w:rFonts w:hint="eastAsia" w:ascii="仿宋_GB2312" w:hAnsi="Calibri" w:eastAsia="仿宋_GB2312" w:cs="Times New Roman"/>
                <w:b w:val="0"/>
                <w:bCs w:val="0"/>
                <w:color w:val="auto"/>
                <w:kern w:val="44"/>
                <w:sz w:val="24"/>
                <w:szCs w:val="24"/>
                <w:highlight w:val="none"/>
                <w:lang w:val="en-US" w:eastAsia="zh-CN" w:bidi="ar"/>
              </w:rPr>
              <w:t>60 以上</w:t>
            </w:r>
          </w:p>
          <w:p w14:paraId="3DCF1958">
            <w:pPr>
              <w:spacing w:line="240" w:lineRule="auto"/>
              <w:jc w:val="center"/>
              <w:rPr>
                <w:rFonts w:hint="eastAsia" w:ascii="仿宋_GB2312" w:hAnsi="Calibri" w:eastAsia="仿宋_GB2312" w:cs="Times New Roman"/>
                <w:b w:val="0"/>
                <w:bCs w:val="0"/>
                <w:color w:val="auto"/>
                <w:kern w:val="44"/>
                <w:sz w:val="24"/>
                <w:szCs w:val="24"/>
                <w:highlight w:val="none"/>
                <w:lang w:val="en-US" w:eastAsia="zh-CN" w:bidi="ar"/>
              </w:rPr>
            </w:pPr>
            <w:r>
              <w:rPr>
                <w:rFonts w:hint="eastAsia" w:ascii="仿宋_GB2312" w:hAnsi="Calibri" w:eastAsia="仿宋_GB2312" w:cs="Times New Roman"/>
                <w:b w:val="0"/>
                <w:bCs w:val="0"/>
                <w:color w:val="auto"/>
                <w:kern w:val="44"/>
                <w:sz w:val="24"/>
                <w:szCs w:val="24"/>
                <w:highlight w:val="none"/>
                <w:lang w:val="en-US" w:eastAsia="zh-CN" w:bidi="ar"/>
              </w:rPr>
              <w:t>800</w:t>
            </w:r>
          </w:p>
        </w:tc>
        <w:tc>
          <w:tcPr>
            <w:tcW w:w="2216" w:type="dxa"/>
            <w:tcBorders>
              <w:tl2br w:val="nil"/>
              <w:tr2bl w:val="nil"/>
            </w:tcBorders>
            <w:noWrap w:val="0"/>
            <w:vAlign w:val="center"/>
          </w:tcPr>
          <w:p w14:paraId="042A31FB">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整体工程</w:t>
            </w:r>
          </w:p>
        </w:tc>
      </w:tr>
      <w:tr w14:paraId="3EBD5A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2359" w:type="dxa"/>
            <w:tcBorders>
              <w:tl2br w:val="nil"/>
              <w:tr2bl w:val="nil"/>
            </w:tcBorders>
            <w:noWrap w:val="0"/>
            <w:vAlign w:val="center"/>
          </w:tcPr>
          <w:p w14:paraId="4F060593">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隧道</w:t>
            </w:r>
          </w:p>
        </w:tc>
        <w:tc>
          <w:tcPr>
            <w:tcW w:w="2022" w:type="dxa"/>
            <w:tcBorders>
              <w:tl2br w:val="nil"/>
              <w:tr2bl w:val="nil"/>
            </w:tcBorders>
            <w:noWrap w:val="0"/>
            <w:vAlign w:val="center"/>
          </w:tcPr>
          <w:p w14:paraId="7D5F105F">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长度</w:t>
            </w:r>
            <w:r>
              <w:rPr>
                <w:rFonts w:hint="eastAsia" w:ascii="仿宋_GB2312" w:hAnsi="Calibri" w:eastAsia="仿宋_GB2312" w:cs="Times New Roman"/>
                <w:b w:val="0"/>
                <w:bCs w:val="0"/>
                <w:color w:val="auto"/>
                <w:kern w:val="44"/>
                <w:sz w:val="24"/>
                <w:szCs w:val="24"/>
                <w:lang w:val="en-US" w:eastAsia="zh-CN" w:bidi="ar"/>
              </w:rPr>
              <w:tab/>
            </w:r>
            <w:r>
              <w:rPr>
                <w:rFonts w:hint="eastAsia" w:ascii="仿宋_GB2312" w:hAnsi="Calibri" w:eastAsia="仿宋_GB2312" w:cs="Times New Roman"/>
                <w:b w:val="0"/>
                <w:bCs w:val="0"/>
                <w:color w:val="auto"/>
                <w:kern w:val="44"/>
                <w:sz w:val="24"/>
                <w:szCs w:val="24"/>
                <w:lang w:val="en-US" w:eastAsia="zh-CN" w:bidi="ar"/>
              </w:rPr>
              <w:t>公里</w:t>
            </w:r>
          </w:p>
        </w:tc>
        <w:tc>
          <w:tcPr>
            <w:tcW w:w="2323" w:type="dxa"/>
            <w:tcBorders>
              <w:tl2br w:val="nil"/>
              <w:tr2bl w:val="nil"/>
            </w:tcBorders>
            <w:noWrap w:val="0"/>
            <w:vAlign w:val="center"/>
          </w:tcPr>
          <w:p w14:paraId="1C3136CF">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0.5 以上</w:t>
            </w:r>
          </w:p>
        </w:tc>
        <w:tc>
          <w:tcPr>
            <w:tcW w:w="2216" w:type="dxa"/>
            <w:tcBorders>
              <w:tl2br w:val="nil"/>
              <w:tr2bl w:val="nil"/>
            </w:tcBorders>
            <w:noWrap w:val="0"/>
            <w:vAlign w:val="center"/>
          </w:tcPr>
          <w:p w14:paraId="6234B404">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连续</w:t>
            </w:r>
          </w:p>
        </w:tc>
      </w:tr>
      <w:tr w14:paraId="315F0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1" w:hRule="atLeast"/>
        </w:trPr>
        <w:tc>
          <w:tcPr>
            <w:tcW w:w="2359" w:type="dxa"/>
            <w:tcBorders>
              <w:tl2br w:val="nil"/>
              <w:tr2bl w:val="nil"/>
            </w:tcBorders>
            <w:noWrap w:val="0"/>
            <w:vAlign w:val="center"/>
          </w:tcPr>
          <w:p w14:paraId="3041F537">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其他工程</w:t>
            </w:r>
          </w:p>
        </w:tc>
        <w:tc>
          <w:tcPr>
            <w:tcW w:w="2022" w:type="dxa"/>
            <w:tcBorders>
              <w:tl2br w:val="nil"/>
              <w:tr2bl w:val="nil"/>
            </w:tcBorders>
            <w:noWrap w:val="0"/>
            <w:vAlign w:val="center"/>
          </w:tcPr>
          <w:p w14:paraId="464B68E6">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投资</w:t>
            </w:r>
            <w:r>
              <w:rPr>
                <w:rFonts w:hint="eastAsia" w:ascii="仿宋_GB2312" w:hAnsi="Calibri" w:eastAsia="仿宋_GB2312" w:cs="Times New Roman"/>
                <w:b w:val="0"/>
                <w:bCs w:val="0"/>
                <w:color w:val="auto"/>
                <w:kern w:val="44"/>
                <w:sz w:val="24"/>
                <w:szCs w:val="24"/>
                <w:lang w:val="en-US" w:eastAsia="zh-CN" w:bidi="ar"/>
              </w:rPr>
              <w:tab/>
            </w:r>
            <w:r>
              <w:rPr>
                <w:rFonts w:hint="eastAsia" w:ascii="仿宋_GB2312" w:hAnsi="Calibri" w:eastAsia="仿宋_GB2312" w:cs="Times New Roman"/>
                <w:b w:val="0"/>
                <w:bCs w:val="0"/>
                <w:color w:val="auto"/>
                <w:kern w:val="44"/>
                <w:sz w:val="24"/>
                <w:szCs w:val="24"/>
                <w:lang w:val="en-US" w:eastAsia="zh-CN" w:bidi="ar"/>
              </w:rPr>
              <w:t>亿元</w:t>
            </w:r>
          </w:p>
        </w:tc>
        <w:tc>
          <w:tcPr>
            <w:tcW w:w="2323" w:type="dxa"/>
            <w:tcBorders>
              <w:tl2br w:val="nil"/>
              <w:tr2bl w:val="nil"/>
            </w:tcBorders>
            <w:noWrap w:val="0"/>
            <w:vAlign w:val="center"/>
          </w:tcPr>
          <w:p w14:paraId="1DCC16D1">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0.5以上</w:t>
            </w:r>
          </w:p>
        </w:tc>
        <w:tc>
          <w:tcPr>
            <w:tcW w:w="2216" w:type="dxa"/>
            <w:tcBorders>
              <w:tl2br w:val="nil"/>
              <w:tr2bl w:val="nil"/>
            </w:tcBorders>
            <w:noWrap w:val="0"/>
            <w:vAlign w:val="center"/>
          </w:tcPr>
          <w:p w14:paraId="340899C2">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整体工程</w:t>
            </w:r>
          </w:p>
        </w:tc>
      </w:tr>
    </w:tbl>
    <w:p w14:paraId="4FA38398">
      <w:pPr>
        <w:pStyle w:val="36"/>
        <w:numPr>
          <w:ilvl w:val="0"/>
          <w:numId w:val="0"/>
        </w:numPr>
        <w:tabs>
          <w:tab w:val="left" w:pos="827"/>
        </w:tabs>
        <w:spacing w:before="96" w:after="0" w:line="240" w:lineRule="auto"/>
        <w:ind w:right="0" w:rightChars="0"/>
        <w:jc w:val="left"/>
        <w:rPr>
          <w:rFonts w:hint="eastAsia" w:ascii="仿宋_GB2312" w:hAnsi="Times New Roman" w:eastAsia="仿宋_GB2312" w:cs="Times New Roman"/>
          <w:b/>
          <w:bCs/>
          <w:kern w:val="2"/>
          <w:sz w:val="24"/>
          <w:szCs w:val="24"/>
          <w:lang w:val="en-US" w:eastAsia="zh-CN" w:bidi="ar-SA"/>
        </w:rPr>
      </w:pPr>
      <w:r>
        <w:rPr>
          <w:rFonts w:hint="eastAsia" w:ascii="仿宋_GB2312" w:hAnsi="Times New Roman" w:eastAsia="仿宋_GB2312" w:cs="Times New Roman"/>
          <w:b/>
          <w:bCs/>
          <w:kern w:val="2"/>
          <w:sz w:val="24"/>
          <w:szCs w:val="24"/>
          <w:lang w:val="en-US" w:eastAsia="zh-CN" w:bidi="ar-SA"/>
        </w:rPr>
        <w:t>2.铁路工程</w:t>
      </w:r>
    </w:p>
    <w:tbl>
      <w:tblPr>
        <w:tblStyle w:val="13"/>
        <w:tblW w:w="8918"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46"/>
        <w:gridCol w:w="2044"/>
        <w:gridCol w:w="2300"/>
        <w:gridCol w:w="2228"/>
      </w:tblGrid>
      <w:tr w14:paraId="10C428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2346" w:type="dxa"/>
            <w:tcBorders>
              <w:tl2br w:val="nil"/>
              <w:tr2bl w:val="nil"/>
            </w:tcBorders>
            <w:noWrap w:val="0"/>
            <w:vAlign w:val="center"/>
          </w:tcPr>
          <w:p w14:paraId="6956C99C">
            <w:pPr>
              <w:spacing w:line="240" w:lineRule="auto"/>
              <w:jc w:val="center"/>
              <w:rPr>
                <w:rFonts w:hint="eastAsia" w:ascii="仿宋_GB2312" w:hAnsi="Calibri" w:eastAsia="仿宋_GB2312" w:cs="Times New Roman"/>
                <w:b w:val="0"/>
                <w:bCs w:val="0"/>
                <w:color w:val="C00000"/>
                <w:kern w:val="44"/>
                <w:sz w:val="24"/>
                <w:szCs w:val="24"/>
                <w:lang w:val="en-US" w:eastAsia="zh-CN" w:bidi="ar"/>
              </w:rPr>
            </w:pPr>
            <w:r>
              <w:rPr>
                <w:rFonts w:hint="eastAsia" w:ascii="仿宋_GB2312" w:eastAsia="仿宋_GB2312"/>
                <w:b/>
                <w:bCs/>
                <w:sz w:val="24"/>
                <w:szCs w:val="24"/>
              </w:rPr>
              <w:t>行业项目</w:t>
            </w:r>
          </w:p>
        </w:tc>
        <w:tc>
          <w:tcPr>
            <w:tcW w:w="2044" w:type="dxa"/>
            <w:tcBorders>
              <w:tl2br w:val="nil"/>
              <w:tr2bl w:val="nil"/>
            </w:tcBorders>
            <w:noWrap w:val="0"/>
            <w:vAlign w:val="center"/>
          </w:tcPr>
          <w:p w14:paraId="0EAFDD82">
            <w:pPr>
              <w:spacing w:line="240" w:lineRule="auto"/>
              <w:jc w:val="center"/>
              <w:rPr>
                <w:rFonts w:hint="eastAsia" w:ascii="仿宋_GB2312" w:hAnsi="Calibri" w:eastAsia="仿宋_GB2312" w:cs="Times New Roman"/>
                <w:b w:val="0"/>
                <w:bCs w:val="0"/>
                <w:color w:val="C00000"/>
                <w:kern w:val="44"/>
                <w:sz w:val="24"/>
                <w:szCs w:val="24"/>
                <w:lang w:val="en-US" w:eastAsia="zh-CN" w:bidi="ar"/>
              </w:rPr>
            </w:pPr>
            <w:r>
              <w:rPr>
                <w:rFonts w:hint="eastAsia" w:ascii="仿宋_GB2312" w:eastAsia="仿宋_GB2312"/>
                <w:b/>
                <w:bCs/>
                <w:sz w:val="24"/>
                <w:szCs w:val="24"/>
              </w:rPr>
              <w:t>计量单位</w:t>
            </w:r>
          </w:p>
        </w:tc>
        <w:tc>
          <w:tcPr>
            <w:tcW w:w="2300" w:type="dxa"/>
            <w:tcBorders>
              <w:tl2br w:val="nil"/>
              <w:tr2bl w:val="nil"/>
            </w:tcBorders>
            <w:noWrap w:val="0"/>
            <w:vAlign w:val="center"/>
          </w:tcPr>
          <w:p w14:paraId="0897BFC0">
            <w:pPr>
              <w:spacing w:line="240" w:lineRule="auto"/>
              <w:jc w:val="center"/>
              <w:rPr>
                <w:rFonts w:hint="default" w:ascii="仿宋_GB2312" w:hAnsi="Calibri" w:eastAsia="仿宋_GB2312" w:cs="Times New Roman"/>
                <w:b w:val="0"/>
                <w:bCs w:val="0"/>
                <w:color w:val="C00000"/>
                <w:kern w:val="44"/>
                <w:sz w:val="24"/>
                <w:szCs w:val="24"/>
                <w:lang w:val="en-US" w:eastAsia="zh-CN" w:bidi="ar"/>
              </w:rPr>
            </w:pPr>
            <w:r>
              <w:rPr>
                <w:rFonts w:hint="eastAsia" w:ascii="仿宋_GB2312" w:eastAsia="仿宋_GB2312"/>
                <w:b/>
                <w:bCs/>
                <w:sz w:val="24"/>
                <w:szCs w:val="24"/>
              </w:rPr>
              <w:t>规模（及以上）</w:t>
            </w:r>
          </w:p>
        </w:tc>
        <w:tc>
          <w:tcPr>
            <w:tcW w:w="2228" w:type="dxa"/>
            <w:tcBorders>
              <w:tl2br w:val="nil"/>
              <w:tr2bl w:val="nil"/>
            </w:tcBorders>
            <w:noWrap w:val="0"/>
            <w:vAlign w:val="center"/>
          </w:tcPr>
          <w:p w14:paraId="6A1F631D">
            <w:pPr>
              <w:spacing w:line="240" w:lineRule="auto"/>
              <w:jc w:val="center"/>
              <w:rPr>
                <w:rFonts w:hint="default" w:ascii="仿宋_GB2312" w:hAnsi="Times New Roman" w:eastAsia="仿宋_GB2312" w:cs="Times New Roman"/>
                <w:b/>
                <w:bCs/>
                <w:kern w:val="2"/>
                <w:sz w:val="24"/>
                <w:szCs w:val="24"/>
                <w:lang w:val="en-US" w:eastAsia="zh-CN" w:bidi="ar-SA"/>
              </w:rPr>
            </w:pPr>
            <w:r>
              <w:rPr>
                <w:rFonts w:hint="eastAsia" w:ascii="仿宋_GB2312" w:eastAsia="仿宋_GB2312"/>
                <w:b/>
                <w:bCs/>
                <w:sz w:val="24"/>
                <w:szCs w:val="24"/>
              </w:rPr>
              <w:t>备注</w:t>
            </w:r>
          </w:p>
        </w:tc>
      </w:tr>
      <w:tr w14:paraId="581BE0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6" w:hRule="atLeast"/>
        </w:trPr>
        <w:tc>
          <w:tcPr>
            <w:tcW w:w="2346" w:type="dxa"/>
            <w:tcBorders>
              <w:tl2br w:val="nil"/>
              <w:tr2bl w:val="nil"/>
            </w:tcBorders>
            <w:noWrap w:val="0"/>
            <w:vAlign w:val="center"/>
          </w:tcPr>
          <w:p w14:paraId="7E51192D">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综合工程</w:t>
            </w:r>
          </w:p>
        </w:tc>
        <w:tc>
          <w:tcPr>
            <w:tcW w:w="2044" w:type="dxa"/>
            <w:tcBorders>
              <w:tl2br w:val="nil"/>
              <w:tr2bl w:val="nil"/>
            </w:tcBorders>
            <w:noWrap w:val="0"/>
            <w:vAlign w:val="center"/>
          </w:tcPr>
          <w:p w14:paraId="27272043">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长度</w:t>
            </w:r>
            <w:r>
              <w:rPr>
                <w:rFonts w:hint="eastAsia" w:ascii="仿宋_GB2312" w:hAnsi="Calibri" w:eastAsia="仿宋_GB2312" w:cs="Times New Roman"/>
                <w:b w:val="0"/>
                <w:bCs w:val="0"/>
                <w:color w:val="auto"/>
                <w:kern w:val="44"/>
                <w:sz w:val="24"/>
                <w:szCs w:val="24"/>
                <w:lang w:val="en-US" w:eastAsia="zh-CN" w:bidi="ar"/>
              </w:rPr>
              <w:tab/>
            </w:r>
            <w:r>
              <w:rPr>
                <w:rFonts w:hint="eastAsia" w:ascii="仿宋_GB2312" w:hAnsi="Calibri" w:eastAsia="仿宋_GB2312" w:cs="Times New Roman"/>
                <w:b w:val="0"/>
                <w:bCs w:val="0"/>
                <w:color w:val="auto"/>
                <w:kern w:val="44"/>
                <w:sz w:val="24"/>
                <w:szCs w:val="24"/>
                <w:lang w:val="en-US" w:eastAsia="zh-CN" w:bidi="ar"/>
              </w:rPr>
              <w:t>公里</w:t>
            </w:r>
          </w:p>
        </w:tc>
        <w:tc>
          <w:tcPr>
            <w:tcW w:w="2300" w:type="dxa"/>
            <w:tcBorders>
              <w:tl2br w:val="nil"/>
              <w:tr2bl w:val="nil"/>
            </w:tcBorders>
            <w:noWrap w:val="0"/>
            <w:vAlign w:val="center"/>
          </w:tcPr>
          <w:p w14:paraId="052210E7">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50以上</w:t>
            </w:r>
          </w:p>
        </w:tc>
        <w:tc>
          <w:tcPr>
            <w:tcW w:w="2228" w:type="dxa"/>
            <w:tcBorders>
              <w:tl2br w:val="nil"/>
              <w:tr2bl w:val="nil"/>
            </w:tcBorders>
            <w:noWrap w:val="0"/>
            <w:vAlign w:val="center"/>
          </w:tcPr>
          <w:p w14:paraId="4667B1D5">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连续， 含两端区段站</w:t>
            </w:r>
          </w:p>
        </w:tc>
      </w:tr>
      <w:tr w14:paraId="5D648F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2346" w:type="dxa"/>
            <w:tcBorders>
              <w:tl2br w:val="nil"/>
              <w:tr2bl w:val="nil"/>
            </w:tcBorders>
            <w:noWrap w:val="0"/>
            <w:vAlign w:val="center"/>
          </w:tcPr>
          <w:p w14:paraId="312B4DDD">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电气化、通信信号</w:t>
            </w:r>
          </w:p>
        </w:tc>
        <w:tc>
          <w:tcPr>
            <w:tcW w:w="2044" w:type="dxa"/>
            <w:tcBorders>
              <w:tl2br w:val="nil"/>
              <w:tr2bl w:val="nil"/>
            </w:tcBorders>
            <w:noWrap w:val="0"/>
            <w:vAlign w:val="center"/>
          </w:tcPr>
          <w:p w14:paraId="383DF107">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长度</w:t>
            </w:r>
            <w:r>
              <w:rPr>
                <w:rFonts w:hint="eastAsia" w:ascii="仿宋_GB2312" w:hAnsi="Calibri" w:eastAsia="仿宋_GB2312" w:cs="Times New Roman"/>
                <w:b w:val="0"/>
                <w:bCs w:val="0"/>
                <w:color w:val="auto"/>
                <w:kern w:val="44"/>
                <w:sz w:val="24"/>
                <w:szCs w:val="24"/>
                <w:lang w:val="en-US" w:eastAsia="zh-CN" w:bidi="ar"/>
              </w:rPr>
              <w:tab/>
            </w:r>
            <w:r>
              <w:rPr>
                <w:rFonts w:hint="eastAsia" w:ascii="仿宋_GB2312" w:hAnsi="Calibri" w:eastAsia="仿宋_GB2312" w:cs="Times New Roman"/>
                <w:b w:val="0"/>
                <w:bCs w:val="0"/>
                <w:color w:val="auto"/>
                <w:kern w:val="44"/>
                <w:sz w:val="24"/>
                <w:szCs w:val="24"/>
                <w:lang w:val="en-US" w:eastAsia="zh-CN" w:bidi="ar"/>
              </w:rPr>
              <w:t>公里</w:t>
            </w:r>
          </w:p>
        </w:tc>
        <w:tc>
          <w:tcPr>
            <w:tcW w:w="2300" w:type="dxa"/>
            <w:tcBorders>
              <w:tl2br w:val="nil"/>
              <w:tr2bl w:val="nil"/>
            </w:tcBorders>
            <w:noWrap w:val="0"/>
            <w:vAlign w:val="center"/>
          </w:tcPr>
          <w:p w14:paraId="669C4875">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50 以上</w:t>
            </w:r>
          </w:p>
        </w:tc>
        <w:tc>
          <w:tcPr>
            <w:tcW w:w="2228" w:type="dxa"/>
            <w:tcBorders>
              <w:tl2br w:val="nil"/>
              <w:tr2bl w:val="nil"/>
            </w:tcBorders>
            <w:noWrap w:val="0"/>
            <w:vAlign w:val="center"/>
          </w:tcPr>
          <w:p w14:paraId="0FC5E7BC">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连续， 含两端区段站</w:t>
            </w:r>
          </w:p>
        </w:tc>
      </w:tr>
      <w:tr w14:paraId="38DF6A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346" w:type="dxa"/>
            <w:vMerge w:val="restart"/>
            <w:tcBorders>
              <w:tl2br w:val="nil"/>
              <w:tr2bl w:val="nil"/>
            </w:tcBorders>
            <w:noWrap w:val="0"/>
            <w:vAlign w:val="center"/>
          </w:tcPr>
          <w:p w14:paraId="62449F5E">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桥梁</w:t>
            </w:r>
          </w:p>
        </w:tc>
        <w:tc>
          <w:tcPr>
            <w:tcW w:w="2044" w:type="dxa"/>
            <w:tcBorders>
              <w:tl2br w:val="nil"/>
              <w:tr2bl w:val="nil"/>
            </w:tcBorders>
            <w:noWrap w:val="0"/>
            <w:vAlign w:val="center"/>
          </w:tcPr>
          <w:p w14:paraId="27020C3D">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长度</w:t>
            </w:r>
            <w:r>
              <w:rPr>
                <w:rFonts w:hint="eastAsia" w:ascii="仿宋_GB2312" w:hAnsi="Calibri" w:eastAsia="仿宋_GB2312" w:cs="Times New Roman"/>
                <w:b w:val="0"/>
                <w:bCs w:val="0"/>
                <w:color w:val="auto"/>
                <w:kern w:val="44"/>
                <w:sz w:val="24"/>
                <w:szCs w:val="24"/>
                <w:lang w:val="en-US" w:eastAsia="zh-CN" w:bidi="ar"/>
              </w:rPr>
              <w:tab/>
            </w:r>
            <w:r>
              <w:rPr>
                <w:rFonts w:hint="eastAsia" w:ascii="仿宋_GB2312" w:hAnsi="Calibri" w:eastAsia="仿宋_GB2312" w:cs="Times New Roman"/>
                <w:b w:val="0"/>
                <w:bCs w:val="0"/>
                <w:color w:val="auto"/>
                <w:kern w:val="44"/>
                <w:sz w:val="24"/>
                <w:szCs w:val="24"/>
                <w:lang w:val="en-US" w:eastAsia="zh-CN" w:bidi="ar"/>
              </w:rPr>
              <w:t>公里</w:t>
            </w:r>
          </w:p>
        </w:tc>
        <w:tc>
          <w:tcPr>
            <w:tcW w:w="2300" w:type="dxa"/>
            <w:tcBorders>
              <w:tl2br w:val="nil"/>
              <w:tr2bl w:val="nil"/>
            </w:tcBorders>
            <w:noWrap w:val="0"/>
            <w:vAlign w:val="center"/>
          </w:tcPr>
          <w:p w14:paraId="2229A9FD">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2（含） 以上</w:t>
            </w:r>
          </w:p>
        </w:tc>
        <w:tc>
          <w:tcPr>
            <w:tcW w:w="2228" w:type="dxa"/>
            <w:tcBorders>
              <w:tl2br w:val="nil"/>
              <w:tr2bl w:val="nil"/>
            </w:tcBorders>
            <w:noWrap w:val="0"/>
            <w:vAlign w:val="center"/>
          </w:tcPr>
          <w:p w14:paraId="74731F1A">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连续</w:t>
            </w:r>
          </w:p>
        </w:tc>
      </w:tr>
      <w:tr w14:paraId="27EB29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346" w:type="dxa"/>
            <w:vMerge w:val="continue"/>
            <w:tcBorders>
              <w:tl2br w:val="nil"/>
              <w:tr2bl w:val="nil"/>
            </w:tcBorders>
            <w:noWrap w:val="0"/>
            <w:vAlign w:val="center"/>
          </w:tcPr>
          <w:p w14:paraId="035B2080">
            <w:pPr>
              <w:spacing w:line="240" w:lineRule="auto"/>
              <w:jc w:val="center"/>
              <w:rPr>
                <w:rFonts w:hint="eastAsia" w:ascii="仿宋_GB2312" w:hAnsi="Calibri" w:eastAsia="仿宋_GB2312" w:cs="Times New Roman"/>
                <w:b w:val="0"/>
                <w:bCs w:val="0"/>
                <w:color w:val="auto"/>
                <w:kern w:val="44"/>
                <w:sz w:val="24"/>
                <w:szCs w:val="24"/>
                <w:lang w:val="en-US" w:eastAsia="zh-CN" w:bidi="ar"/>
              </w:rPr>
            </w:pPr>
          </w:p>
        </w:tc>
        <w:tc>
          <w:tcPr>
            <w:tcW w:w="2044" w:type="dxa"/>
            <w:tcBorders>
              <w:tl2br w:val="nil"/>
              <w:tr2bl w:val="nil"/>
            </w:tcBorders>
            <w:noWrap w:val="0"/>
            <w:vAlign w:val="center"/>
          </w:tcPr>
          <w:p w14:paraId="54D12812">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主跨    米</w:t>
            </w:r>
          </w:p>
        </w:tc>
        <w:tc>
          <w:tcPr>
            <w:tcW w:w="2300" w:type="dxa"/>
            <w:tcBorders>
              <w:tl2br w:val="nil"/>
              <w:tr2bl w:val="nil"/>
            </w:tcBorders>
            <w:noWrap w:val="0"/>
            <w:vAlign w:val="center"/>
          </w:tcPr>
          <w:p w14:paraId="488C6A64">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90（含）以上</w:t>
            </w:r>
          </w:p>
        </w:tc>
        <w:tc>
          <w:tcPr>
            <w:tcW w:w="2228" w:type="dxa"/>
            <w:tcBorders>
              <w:tl2br w:val="nil"/>
              <w:tr2bl w:val="nil"/>
            </w:tcBorders>
            <w:noWrap w:val="0"/>
            <w:vAlign w:val="center"/>
          </w:tcPr>
          <w:p w14:paraId="3E0E976A">
            <w:pPr>
              <w:spacing w:line="240" w:lineRule="auto"/>
              <w:jc w:val="center"/>
              <w:rPr>
                <w:rFonts w:hint="eastAsia" w:ascii="仿宋_GB2312" w:hAnsi="Calibri" w:eastAsia="仿宋_GB2312" w:cs="Times New Roman"/>
                <w:b w:val="0"/>
                <w:bCs w:val="0"/>
                <w:color w:val="auto"/>
                <w:kern w:val="44"/>
                <w:sz w:val="24"/>
                <w:szCs w:val="24"/>
                <w:lang w:val="en-US" w:eastAsia="zh-CN" w:bidi="ar"/>
              </w:rPr>
            </w:pPr>
          </w:p>
        </w:tc>
      </w:tr>
      <w:tr w14:paraId="58AAD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346" w:type="dxa"/>
            <w:vMerge w:val="continue"/>
            <w:tcBorders>
              <w:tl2br w:val="nil"/>
              <w:tr2bl w:val="nil"/>
            </w:tcBorders>
            <w:noWrap w:val="0"/>
            <w:vAlign w:val="center"/>
          </w:tcPr>
          <w:p w14:paraId="2CA6F9D1">
            <w:pPr>
              <w:spacing w:line="240" w:lineRule="auto"/>
              <w:jc w:val="center"/>
              <w:rPr>
                <w:rFonts w:hint="eastAsia" w:ascii="仿宋_GB2312" w:hAnsi="Calibri" w:eastAsia="仿宋_GB2312" w:cs="Times New Roman"/>
                <w:b w:val="0"/>
                <w:bCs w:val="0"/>
                <w:color w:val="auto"/>
                <w:kern w:val="44"/>
                <w:sz w:val="24"/>
                <w:szCs w:val="24"/>
                <w:lang w:val="en-US" w:eastAsia="zh-CN" w:bidi="ar"/>
              </w:rPr>
            </w:pPr>
          </w:p>
        </w:tc>
        <w:tc>
          <w:tcPr>
            <w:tcW w:w="2044" w:type="dxa"/>
            <w:tcBorders>
              <w:tl2br w:val="nil"/>
              <w:tr2bl w:val="nil"/>
            </w:tcBorders>
            <w:noWrap w:val="0"/>
            <w:vAlign w:val="center"/>
          </w:tcPr>
          <w:p w14:paraId="2E320F97">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最高墩</w:t>
            </w:r>
            <w:r>
              <w:rPr>
                <w:rFonts w:hint="eastAsia" w:ascii="仿宋_GB2312" w:hAnsi="Calibri" w:eastAsia="仿宋_GB2312" w:cs="Times New Roman"/>
                <w:b w:val="0"/>
                <w:bCs w:val="0"/>
                <w:color w:val="auto"/>
                <w:kern w:val="44"/>
                <w:sz w:val="24"/>
                <w:szCs w:val="24"/>
                <w:lang w:val="en-US" w:eastAsia="zh-CN" w:bidi="ar"/>
              </w:rPr>
              <w:tab/>
            </w:r>
            <w:r>
              <w:rPr>
                <w:rFonts w:hint="eastAsia" w:ascii="仿宋_GB2312" w:hAnsi="Calibri" w:eastAsia="仿宋_GB2312" w:cs="Times New Roman"/>
                <w:b w:val="0"/>
                <w:bCs w:val="0"/>
                <w:color w:val="auto"/>
                <w:kern w:val="44"/>
                <w:sz w:val="24"/>
                <w:szCs w:val="24"/>
                <w:lang w:val="en-US" w:eastAsia="zh-CN" w:bidi="ar"/>
              </w:rPr>
              <w:t xml:space="preserve"> 米</w:t>
            </w:r>
          </w:p>
        </w:tc>
        <w:tc>
          <w:tcPr>
            <w:tcW w:w="2300" w:type="dxa"/>
            <w:tcBorders>
              <w:tl2br w:val="nil"/>
              <w:tr2bl w:val="nil"/>
            </w:tcBorders>
            <w:noWrap w:val="0"/>
            <w:vAlign w:val="center"/>
          </w:tcPr>
          <w:p w14:paraId="4BAAF435">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15（含）以上</w:t>
            </w:r>
          </w:p>
        </w:tc>
        <w:tc>
          <w:tcPr>
            <w:tcW w:w="2228" w:type="dxa"/>
            <w:tcBorders>
              <w:tl2br w:val="nil"/>
              <w:tr2bl w:val="nil"/>
            </w:tcBorders>
            <w:noWrap w:val="0"/>
            <w:vAlign w:val="center"/>
          </w:tcPr>
          <w:p w14:paraId="12518228">
            <w:pPr>
              <w:spacing w:line="240" w:lineRule="auto"/>
              <w:jc w:val="center"/>
              <w:rPr>
                <w:rFonts w:hint="eastAsia" w:ascii="仿宋_GB2312" w:hAnsi="Calibri" w:eastAsia="仿宋_GB2312" w:cs="Times New Roman"/>
                <w:b w:val="0"/>
                <w:bCs w:val="0"/>
                <w:color w:val="auto"/>
                <w:kern w:val="44"/>
                <w:sz w:val="24"/>
                <w:szCs w:val="24"/>
                <w:lang w:val="en-US" w:eastAsia="zh-CN" w:bidi="ar"/>
              </w:rPr>
            </w:pPr>
          </w:p>
        </w:tc>
      </w:tr>
      <w:tr w14:paraId="5796D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346" w:type="dxa"/>
            <w:tcBorders>
              <w:tl2br w:val="nil"/>
              <w:tr2bl w:val="nil"/>
            </w:tcBorders>
            <w:noWrap w:val="0"/>
            <w:vAlign w:val="center"/>
          </w:tcPr>
          <w:p w14:paraId="4FD710E6">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隧道</w:t>
            </w:r>
          </w:p>
        </w:tc>
        <w:tc>
          <w:tcPr>
            <w:tcW w:w="2044" w:type="dxa"/>
            <w:tcBorders>
              <w:tl2br w:val="nil"/>
              <w:tr2bl w:val="nil"/>
            </w:tcBorders>
            <w:noWrap w:val="0"/>
            <w:vAlign w:val="center"/>
          </w:tcPr>
          <w:p w14:paraId="57706946">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长度</w:t>
            </w:r>
            <w:r>
              <w:rPr>
                <w:rFonts w:hint="eastAsia" w:ascii="仿宋_GB2312" w:hAnsi="Calibri" w:eastAsia="仿宋_GB2312" w:cs="Times New Roman"/>
                <w:b w:val="0"/>
                <w:bCs w:val="0"/>
                <w:color w:val="auto"/>
                <w:kern w:val="44"/>
                <w:sz w:val="24"/>
                <w:szCs w:val="24"/>
                <w:lang w:val="en-US" w:eastAsia="zh-CN" w:bidi="ar"/>
              </w:rPr>
              <w:tab/>
            </w:r>
            <w:r>
              <w:rPr>
                <w:rFonts w:hint="eastAsia" w:ascii="仿宋_GB2312" w:hAnsi="Calibri" w:eastAsia="仿宋_GB2312" w:cs="Times New Roman"/>
                <w:b w:val="0"/>
                <w:bCs w:val="0"/>
                <w:color w:val="auto"/>
                <w:kern w:val="44"/>
                <w:sz w:val="24"/>
                <w:szCs w:val="24"/>
                <w:lang w:val="en-US" w:eastAsia="zh-CN" w:bidi="ar"/>
              </w:rPr>
              <w:t>公里</w:t>
            </w:r>
          </w:p>
        </w:tc>
        <w:tc>
          <w:tcPr>
            <w:tcW w:w="2300" w:type="dxa"/>
            <w:tcBorders>
              <w:tl2br w:val="nil"/>
              <w:tr2bl w:val="nil"/>
            </w:tcBorders>
            <w:noWrap w:val="0"/>
            <w:vAlign w:val="center"/>
          </w:tcPr>
          <w:p w14:paraId="660E7FC6">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单线长度2km以上</w:t>
            </w:r>
          </w:p>
          <w:p w14:paraId="112A0A5C">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双向长度1km以上</w:t>
            </w:r>
          </w:p>
          <w:p w14:paraId="62ED93B9">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多线长度1km 以上</w:t>
            </w:r>
          </w:p>
        </w:tc>
        <w:tc>
          <w:tcPr>
            <w:tcW w:w="2228" w:type="dxa"/>
            <w:tcBorders>
              <w:tl2br w:val="nil"/>
              <w:tr2bl w:val="nil"/>
            </w:tcBorders>
            <w:noWrap w:val="0"/>
            <w:vAlign w:val="center"/>
          </w:tcPr>
          <w:p w14:paraId="36295D23">
            <w:pPr>
              <w:spacing w:line="240" w:lineRule="auto"/>
              <w:jc w:val="center"/>
              <w:rPr>
                <w:rFonts w:hint="eastAsia" w:ascii="仿宋_GB2312" w:hAnsi="Calibri" w:eastAsia="仿宋_GB2312" w:cs="Times New Roman"/>
                <w:b w:val="0"/>
                <w:bCs w:val="0"/>
                <w:color w:val="auto"/>
                <w:kern w:val="44"/>
                <w:sz w:val="24"/>
                <w:szCs w:val="24"/>
                <w:lang w:val="en-US" w:eastAsia="zh-CN" w:bidi="ar"/>
              </w:rPr>
            </w:pPr>
          </w:p>
          <w:p w14:paraId="33D8F3CE">
            <w:pPr>
              <w:spacing w:line="240" w:lineRule="auto"/>
              <w:jc w:val="center"/>
              <w:rPr>
                <w:rFonts w:hint="default"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连续，整体工程</w:t>
            </w:r>
          </w:p>
        </w:tc>
      </w:tr>
      <w:tr w14:paraId="345730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346" w:type="dxa"/>
            <w:tcBorders>
              <w:tl2br w:val="nil"/>
              <w:tr2bl w:val="nil"/>
            </w:tcBorders>
            <w:noWrap w:val="0"/>
            <w:vAlign w:val="center"/>
          </w:tcPr>
          <w:p w14:paraId="7E44D7F1">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其他工程</w:t>
            </w:r>
          </w:p>
        </w:tc>
        <w:tc>
          <w:tcPr>
            <w:tcW w:w="2044" w:type="dxa"/>
            <w:tcBorders>
              <w:tl2br w:val="nil"/>
              <w:tr2bl w:val="nil"/>
            </w:tcBorders>
            <w:noWrap w:val="0"/>
            <w:vAlign w:val="center"/>
          </w:tcPr>
          <w:p w14:paraId="650A99AF">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投资</w:t>
            </w:r>
            <w:r>
              <w:rPr>
                <w:rFonts w:hint="eastAsia" w:ascii="仿宋_GB2312" w:hAnsi="Calibri" w:eastAsia="仿宋_GB2312" w:cs="Times New Roman"/>
                <w:b w:val="0"/>
                <w:bCs w:val="0"/>
                <w:color w:val="auto"/>
                <w:kern w:val="44"/>
                <w:sz w:val="24"/>
                <w:szCs w:val="24"/>
                <w:lang w:val="en-US" w:eastAsia="zh-CN" w:bidi="ar"/>
              </w:rPr>
              <w:tab/>
            </w:r>
            <w:r>
              <w:rPr>
                <w:rFonts w:hint="eastAsia" w:ascii="仿宋_GB2312" w:hAnsi="Calibri" w:eastAsia="仿宋_GB2312" w:cs="Times New Roman"/>
                <w:b w:val="0"/>
                <w:bCs w:val="0"/>
                <w:color w:val="auto"/>
                <w:kern w:val="44"/>
                <w:sz w:val="24"/>
                <w:szCs w:val="24"/>
                <w:lang w:val="en-US" w:eastAsia="zh-CN" w:bidi="ar"/>
              </w:rPr>
              <w:t>亿元</w:t>
            </w:r>
          </w:p>
        </w:tc>
        <w:tc>
          <w:tcPr>
            <w:tcW w:w="2300" w:type="dxa"/>
            <w:tcBorders>
              <w:tl2br w:val="nil"/>
              <w:tr2bl w:val="nil"/>
            </w:tcBorders>
            <w:noWrap w:val="0"/>
            <w:vAlign w:val="center"/>
          </w:tcPr>
          <w:p w14:paraId="484EB50A">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1 以上</w:t>
            </w:r>
          </w:p>
        </w:tc>
        <w:tc>
          <w:tcPr>
            <w:tcW w:w="2228" w:type="dxa"/>
            <w:tcBorders>
              <w:tl2br w:val="nil"/>
              <w:tr2bl w:val="nil"/>
            </w:tcBorders>
            <w:noWrap w:val="0"/>
            <w:vAlign w:val="center"/>
          </w:tcPr>
          <w:p w14:paraId="57F105C2">
            <w:pPr>
              <w:spacing w:line="240" w:lineRule="auto"/>
              <w:jc w:val="center"/>
              <w:rPr>
                <w:rFonts w:hint="eastAsia" w:ascii="仿宋_GB2312" w:hAnsi="Calibri" w:eastAsia="仿宋_GB2312" w:cs="Times New Roman"/>
                <w:b w:val="0"/>
                <w:bCs w:val="0"/>
                <w:color w:val="auto"/>
                <w:kern w:val="44"/>
                <w:sz w:val="24"/>
                <w:szCs w:val="24"/>
                <w:lang w:val="en-US" w:eastAsia="zh-CN" w:bidi="ar"/>
              </w:rPr>
            </w:pPr>
          </w:p>
        </w:tc>
      </w:tr>
    </w:tbl>
    <w:p w14:paraId="38C52B42">
      <w:pPr>
        <w:pStyle w:val="36"/>
        <w:numPr>
          <w:ilvl w:val="0"/>
          <w:numId w:val="0"/>
        </w:numPr>
        <w:tabs>
          <w:tab w:val="left" w:pos="827"/>
        </w:tabs>
        <w:spacing w:before="96" w:after="0" w:line="240" w:lineRule="auto"/>
        <w:ind w:right="0" w:rightChars="0"/>
        <w:jc w:val="left"/>
        <w:rPr>
          <w:rFonts w:hint="eastAsia" w:ascii="仿宋_GB2312" w:hAnsi="Times New Roman" w:eastAsia="仿宋_GB2312" w:cs="Times New Roman"/>
          <w:b/>
          <w:bCs/>
          <w:kern w:val="2"/>
          <w:sz w:val="24"/>
          <w:szCs w:val="24"/>
          <w:lang w:val="en-US" w:eastAsia="zh-CN" w:bidi="ar-SA"/>
        </w:rPr>
      </w:pPr>
      <w:r>
        <w:rPr>
          <w:rFonts w:hint="eastAsia" w:ascii="仿宋_GB2312" w:hAnsi="Times New Roman" w:eastAsia="仿宋_GB2312" w:cs="Times New Roman"/>
          <w:b/>
          <w:bCs/>
          <w:kern w:val="2"/>
          <w:sz w:val="24"/>
          <w:szCs w:val="24"/>
          <w:lang w:val="en-US" w:eastAsia="zh-CN" w:bidi="ar-SA"/>
        </w:rPr>
        <w:t>3.航空工程</w:t>
      </w:r>
    </w:p>
    <w:tbl>
      <w:tblPr>
        <w:tblStyle w:val="13"/>
        <w:tblW w:w="8908" w:type="dxa"/>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36"/>
        <w:gridCol w:w="2044"/>
        <w:gridCol w:w="2289"/>
        <w:gridCol w:w="2239"/>
      </w:tblGrid>
      <w:tr w14:paraId="63FBD2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336" w:type="dxa"/>
            <w:tcBorders>
              <w:left w:val="single" w:color="000000" w:sz="4" w:space="0"/>
            </w:tcBorders>
            <w:noWrap w:val="0"/>
            <w:vAlign w:val="center"/>
          </w:tcPr>
          <w:p w14:paraId="52831FDD">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eastAsia="仿宋_GB2312"/>
                <w:b/>
                <w:bCs/>
                <w:color w:val="auto"/>
                <w:sz w:val="24"/>
                <w:szCs w:val="24"/>
              </w:rPr>
              <w:t>行业项目</w:t>
            </w:r>
          </w:p>
        </w:tc>
        <w:tc>
          <w:tcPr>
            <w:tcW w:w="2044" w:type="dxa"/>
            <w:noWrap w:val="0"/>
            <w:vAlign w:val="center"/>
          </w:tcPr>
          <w:p w14:paraId="3A056151">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eastAsia="仿宋_GB2312"/>
                <w:b/>
                <w:bCs/>
                <w:color w:val="auto"/>
                <w:sz w:val="24"/>
                <w:szCs w:val="24"/>
              </w:rPr>
              <w:t>计量单位</w:t>
            </w:r>
          </w:p>
        </w:tc>
        <w:tc>
          <w:tcPr>
            <w:tcW w:w="2289" w:type="dxa"/>
            <w:noWrap w:val="0"/>
            <w:vAlign w:val="center"/>
          </w:tcPr>
          <w:p w14:paraId="7D738A40">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eastAsia="仿宋_GB2312"/>
                <w:b/>
                <w:bCs/>
                <w:color w:val="auto"/>
                <w:sz w:val="24"/>
                <w:szCs w:val="24"/>
              </w:rPr>
              <w:t>规模（及以上）</w:t>
            </w:r>
          </w:p>
        </w:tc>
        <w:tc>
          <w:tcPr>
            <w:tcW w:w="2239" w:type="dxa"/>
            <w:tcBorders>
              <w:right w:val="single" w:color="000000" w:sz="4" w:space="0"/>
            </w:tcBorders>
            <w:noWrap w:val="0"/>
            <w:vAlign w:val="center"/>
          </w:tcPr>
          <w:p w14:paraId="22269B21">
            <w:pPr>
              <w:spacing w:line="240" w:lineRule="auto"/>
              <w:jc w:val="center"/>
              <w:rPr>
                <w:rFonts w:hint="eastAsia" w:ascii="仿宋_GB2312" w:hAnsi="Times New Roman" w:eastAsia="仿宋_GB2312" w:cs="Times New Roman"/>
                <w:b/>
                <w:bCs/>
                <w:color w:val="auto"/>
                <w:kern w:val="2"/>
                <w:sz w:val="24"/>
                <w:szCs w:val="24"/>
                <w:lang w:val="en-US" w:eastAsia="zh-CN" w:bidi="ar-SA"/>
              </w:rPr>
            </w:pPr>
            <w:r>
              <w:rPr>
                <w:rFonts w:hint="eastAsia" w:ascii="仿宋_GB2312" w:eastAsia="仿宋_GB2312"/>
                <w:b/>
                <w:bCs/>
                <w:color w:val="auto"/>
                <w:sz w:val="24"/>
                <w:szCs w:val="24"/>
              </w:rPr>
              <w:t>备注</w:t>
            </w:r>
          </w:p>
        </w:tc>
      </w:tr>
      <w:tr w14:paraId="32B6E3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336" w:type="dxa"/>
            <w:tcBorders>
              <w:left w:val="single" w:color="000000" w:sz="4" w:space="0"/>
            </w:tcBorders>
            <w:noWrap w:val="0"/>
            <w:vAlign w:val="center"/>
          </w:tcPr>
          <w:p w14:paraId="28C082A7">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机场飞行区</w:t>
            </w:r>
          </w:p>
        </w:tc>
        <w:tc>
          <w:tcPr>
            <w:tcW w:w="2044" w:type="dxa"/>
            <w:noWrap w:val="0"/>
            <w:vAlign w:val="center"/>
          </w:tcPr>
          <w:p w14:paraId="5FA1FC6F">
            <w:pPr>
              <w:spacing w:line="240" w:lineRule="auto"/>
              <w:jc w:val="center"/>
              <w:rPr>
                <w:rFonts w:hint="default"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投资  亿元</w:t>
            </w:r>
          </w:p>
        </w:tc>
        <w:tc>
          <w:tcPr>
            <w:tcW w:w="2289" w:type="dxa"/>
            <w:noWrap w:val="0"/>
            <w:vAlign w:val="center"/>
          </w:tcPr>
          <w:p w14:paraId="7B0EE396">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1以上</w:t>
            </w:r>
          </w:p>
        </w:tc>
        <w:tc>
          <w:tcPr>
            <w:tcW w:w="2239" w:type="dxa"/>
            <w:tcBorders>
              <w:right w:val="single" w:color="000000" w:sz="4" w:space="0"/>
            </w:tcBorders>
            <w:noWrap w:val="0"/>
            <w:vAlign w:val="center"/>
          </w:tcPr>
          <w:p w14:paraId="267F9DBA">
            <w:pPr>
              <w:spacing w:line="240" w:lineRule="auto"/>
              <w:jc w:val="center"/>
              <w:rPr>
                <w:rFonts w:hint="eastAsia" w:ascii="仿宋_GB2312" w:hAnsi="Calibri" w:eastAsia="仿宋_GB2312" w:cs="Times New Roman"/>
                <w:b w:val="0"/>
                <w:bCs w:val="0"/>
                <w:color w:val="auto"/>
                <w:kern w:val="44"/>
                <w:sz w:val="24"/>
                <w:szCs w:val="24"/>
                <w:lang w:val="en-US" w:eastAsia="zh-CN" w:bidi="ar"/>
              </w:rPr>
            </w:pPr>
          </w:p>
        </w:tc>
      </w:tr>
    </w:tbl>
    <w:p w14:paraId="6E82C108">
      <w:pPr>
        <w:pStyle w:val="36"/>
        <w:numPr>
          <w:ilvl w:val="0"/>
          <w:numId w:val="0"/>
        </w:numPr>
        <w:tabs>
          <w:tab w:val="left" w:pos="827"/>
        </w:tabs>
        <w:spacing w:before="96" w:after="0" w:line="240" w:lineRule="auto"/>
        <w:ind w:right="0" w:rightChars="0"/>
        <w:jc w:val="left"/>
        <w:rPr>
          <w:rFonts w:hint="eastAsia"/>
          <w:color w:val="auto"/>
          <w:kern w:val="2"/>
          <w:sz w:val="21"/>
          <w:szCs w:val="22"/>
          <w:lang w:val="en-US" w:eastAsia="zh-CN" w:bidi="ar-SA"/>
        </w:rPr>
      </w:pPr>
      <w:r>
        <w:rPr>
          <w:rFonts w:hint="eastAsia" w:ascii="仿宋_GB2312" w:hAnsi="Times New Roman" w:eastAsia="仿宋_GB2312" w:cs="Times New Roman"/>
          <w:b/>
          <w:bCs/>
          <w:color w:val="auto"/>
          <w:kern w:val="2"/>
          <w:sz w:val="24"/>
          <w:szCs w:val="24"/>
          <w:lang w:val="en-US" w:eastAsia="zh-CN" w:bidi="ar-SA"/>
        </w:rPr>
        <w:t>4.水运工程</w:t>
      </w:r>
    </w:p>
    <w:tbl>
      <w:tblPr>
        <w:tblStyle w:val="13"/>
        <w:tblW w:w="8908" w:type="dxa"/>
        <w:tblInd w:w="-1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47"/>
        <w:gridCol w:w="2045"/>
        <w:gridCol w:w="2288"/>
        <w:gridCol w:w="2228"/>
      </w:tblGrid>
      <w:tr w14:paraId="720488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347" w:type="dxa"/>
            <w:tcBorders>
              <w:left w:val="single" w:color="000000" w:sz="4" w:space="0"/>
            </w:tcBorders>
            <w:noWrap w:val="0"/>
            <w:vAlign w:val="center"/>
          </w:tcPr>
          <w:p w14:paraId="5B7798B5">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eastAsia="仿宋_GB2312"/>
                <w:b/>
                <w:bCs/>
                <w:color w:val="auto"/>
                <w:sz w:val="24"/>
                <w:szCs w:val="24"/>
              </w:rPr>
              <w:t>行业项目</w:t>
            </w:r>
          </w:p>
        </w:tc>
        <w:tc>
          <w:tcPr>
            <w:tcW w:w="2045" w:type="dxa"/>
            <w:noWrap w:val="0"/>
            <w:vAlign w:val="center"/>
          </w:tcPr>
          <w:p w14:paraId="57B3F748">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eastAsia="仿宋_GB2312"/>
                <w:b/>
                <w:bCs/>
                <w:color w:val="auto"/>
                <w:sz w:val="24"/>
                <w:szCs w:val="24"/>
              </w:rPr>
              <w:t>计量单位</w:t>
            </w:r>
          </w:p>
        </w:tc>
        <w:tc>
          <w:tcPr>
            <w:tcW w:w="2288" w:type="dxa"/>
            <w:noWrap w:val="0"/>
            <w:vAlign w:val="center"/>
          </w:tcPr>
          <w:p w14:paraId="2C375DAA">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eastAsia="仿宋_GB2312"/>
                <w:b/>
                <w:bCs/>
                <w:color w:val="auto"/>
                <w:sz w:val="24"/>
                <w:szCs w:val="24"/>
              </w:rPr>
              <w:t>规模（及以上）</w:t>
            </w:r>
          </w:p>
        </w:tc>
        <w:tc>
          <w:tcPr>
            <w:tcW w:w="2228" w:type="dxa"/>
            <w:tcBorders>
              <w:right w:val="single" w:color="000000" w:sz="4" w:space="0"/>
            </w:tcBorders>
            <w:noWrap w:val="0"/>
            <w:vAlign w:val="center"/>
          </w:tcPr>
          <w:p w14:paraId="23706218">
            <w:pPr>
              <w:spacing w:line="240" w:lineRule="auto"/>
              <w:jc w:val="center"/>
              <w:rPr>
                <w:rFonts w:hint="eastAsia" w:ascii="仿宋_GB2312" w:hAnsi="Times New Roman" w:eastAsia="仿宋_GB2312" w:cs="Times New Roman"/>
                <w:b/>
                <w:bCs/>
                <w:color w:val="auto"/>
                <w:kern w:val="2"/>
                <w:sz w:val="24"/>
                <w:szCs w:val="24"/>
                <w:lang w:val="en-US" w:eastAsia="zh-CN" w:bidi="ar-SA"/>
              </w:rPr>
            </w:pPr>
            <w:r>
              <w:rPr>
                <w:rFonts w:hint="eastAsia" w:ascii="仿宋_GB2312" w:eastAsia="仿宋_GB2312"/>
                <w:b/>
                <w:bCs/>
                <w:color w:val="auto"/>
                <w:sz w:val="24"/>
                <w:szCs w:val="24"/>
              </w:rPr>
              <w:t>备注</w:t>
            </w:r>
          </w:p>
        </w:tc>
      </w:tr>
      <w:tr w14:paraId="110FFC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347" w:type="dxa"/>
            <w:tcBorders>
              <w:left w:val="single" w:color="000000" w:sz="4" w:space="0"/>
            </w:tcBorders>
            <w:noWrap w:val="0"/>
            <w:vAlign w:val="center"/>
          </w:tcPr>
          <w:p w14:paraId="3A4FBC04">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码头</w:t>
            </w:r>
          </w:p>
        </w:tc>
        <w:tc>
          <w:tcPr>
            <w:tcW w:w="2045" w:type="dxa"/>
            <w:noWrap w:val="0"/>
            <w:vAlign w:val="center"/>
          </w:tcPr>
          <w:p w14:paraId="65D15C03">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靠泊能力</w:t>
            </w:r>
            <w:r>
              <w:rPr>
                <w:rFonts w:hint="eastAsia" w:ascii="仿宋_GB2312" w:hAnsi="Calibri" w:eastAsia="仿宋_GB2312" w:cs="Times New Roman"/>
                <w:b w:val="0"/>
                <w:bCs w:val="0"/>
                <w:color w:val="auto"/>
                <w:kern w:val="44"/>
                <w:sz w:val="24"/>
                <w:szCs w:val="24"/>
                <w:lang w:val="en-US" w:eastAsia="zh-CN" w:bidi="ar"/>
              </w:rPr>
              <w:tab/>
            </w:r>
            <w:r>
              <w:rPr>
                <w:rFonts w:hint="eastAsia" w:ascii="仿宋_GB2312" w:hAnsi="Calibri" w:eastAsia="仿宋_GB2312" w:cs="Times New Roman"/>
                <w:b w:val="0"/>
                <w:bCs w:val="0"/>
                <w:color w:val="auto"/>
                <w:kern w:val="44"/>
                <w:sz w:val="24"/>
                <w:szCs w:val="24"/>
                <w:lang w:val="en-US" w:eastAsia="zh-CN" w:bidi="ar"/>
              </w:rPr>
              <w:t>吨级</w:t>
            </w:r>
          </w:p>
        </w:tc>
        <w:tc>
          <w:tcPr>
            <w:tcW w:w="2288" w:type="dxa"/>
            <w:noWrap w:val="0"/>
            <w:vAlign w:val="center"/>
          </w:tcPr>
          <w:p w14:paraId="2FEC102E">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1.5万（含）以上</w:t>
            </w:r>
          </w:p>
        </w:tc>
        <w:tc>
          <w:tcPr>
            <w:tcW w:w="2228" w:type="dxa"/>
            <w:tcBorders>
              <w:right w:val="single" w:color="000000" w:sz="4" w:space="0"/>
            </w:tcBorders>
            <w:noWrap w:val="0"/>
            <w:vAlign w:val="center"/>
          </w:tcPr>
          <w:p w14:paraId="4E70BC64">
            <w:pPr>
              <w:spacing w:line="240" w:lineRule="auto"/>
              <w:jc w:val="center"/>
              <w:rPr>
                <w:rFonts w:hint="eastAsia" w:ascii="仿宋_GB2312" w:hAnsi="Calibri" w:eastAsia="仿宋_GB2312" w:cs="Times New Roman"/>
                <w:b w:val="0"/>
                <w:bCs w:val="0"/>
                <w:color w:val="auto"/>
                <w:kern w:val="44"/>
                <w:sz w:val="24"/>
                <w:szCs w:val="24"/>
                <w:lang w:val="en-US" w:eastAsia="zh-CN" w:bidi="ar"/>
              </w:rPr>
            </w:pPr>
          </w:p>
        </w:tc>
      </w:tr>
      <w:tr w14:paraId="273684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347" w:type="dxa"/>
            <w:tcBorders>
              <w:left w:val="single" w:color="000000" w:sz="4" w:space="0"/>
            </w:tcBorders>
            <w:noWrap w:val="0"/>
            <w:vAlign w:val="center"/>
          </w:tcPr>
          <w:p w14:paraId="67329E63">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航道</w:t>
            </w:r>
          </w:p>
        </w:tc>
        <w:tc>
          <w:tcPr>
            <w:tcW w:w="2045" w:type="dxa"/>
            <w:noWrap w:val="0"/>
            <w:vAlign w:val="center"/>
          </w:tcPr>
          <w:p w14:paraId="29F10051">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通航能力</w:t>
            </w:r>
            <w:r>
              <w:rPr>
                <w:rFonts w:hint="eastAsia" w:ascii="仿宋_GB2312" w:hAnsi="Calibri" w:eastAsia="仿宋_GB2312" w:cs="Times New Roman"/>
                <w:b w:val="0"/>
                <w:bCs w:val="0"/>
                <w:color w:val="auto"/>
                <w:kern w:val="44"/>
                <w:sz w:val="24"/>
                <w:szCs w:val="24"/>
                <w:lang w:val="en-US" w:eastAsia="zh-CN" w:bidi="ar"/>
              </w:rPr>
              <w:tab/>
            </w:r>
            <w:r>
              <w:rPr>
                <w:rFonts w:hint="eastAsia" w:ascii="仿宋_GB2312" w:hAnsi="Calibri" w:eastAsia="仿宋_GB2312" w:cs="Times New Roman"/>
                <w:b w:val="0"/>
                <w:bCs w:val="0"/>
                <w:color w:val="auto"/>
                <w:kern w:val="44"/>
                <w:sz w:val="24"/>
                <w:szCs w:val="24"/>
                <w:lang w:val="en-US" w:eastAsia="zh-CN" w:bidi="ar"/>
              </w:rPr>
              <w:t>吨级</w:t>
            </w:r>
          </w:p>
        </w:tc>
        <w:tc>
          <w:tcPr>
            <w:tcW w:w="2288" w:type="dxa"/>
            <w:noWrap w:val="0"/>
            <w:vAlign w:val="center"/>
          </w:tcPr>
          <w:p w14:paraId="4B69789A">
            <w:pPr>
              <w:spacing w:line="240" w:lineRule="auto"/>
              <w:jc w:val="center"/>
              <w:rPr>
                <w:rFonts w:hint="default"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1.5万（含）以上</w:t>
            </w:r>
          </w:p>
        </w:tc>
        <w:tc>
          <w:tcPr>
            <w:tcW w:w="2228" w:type="dxa"/>
            <w:tcBorders>
              <w:right w:val="single" w:color="000000" w:sz="4" w:space="0"/>
            </w:tcBorders>
            <w:noWrap w:val="0"/>
            <w:vAlign w:val="center"/>
          </w:tcPr>
          <w:p w14:paraId="3C7B05CF">
            <w:pPr>
              <w:spacing w:line="240" w:lineRule="auto"/>
              <w:jc w:val="center"/>
              <w:rPr>
                <w:rFonts w:hint="eastAsia" w:ascii="仿宋_GB2312" w:hAnsi="Calibri" w:eastAsia="仿宋_GB2312" w:cs="Times New Roman"/>
                <w:b w:val="0"/>
                <w:bCs w:val="0"/>
                <w:color w:val="auto"/>
                <w:kern w:val="44"/>
                <w:sz w:val="24"/>
                <w:szCs w:val="24"/>
                <w:lang w:val="en-US" w:eastAsia="zh-CN" w:bidi="ar"/>
              </w:rPr>
            </w:pPr>
          </w:p>
        </w:tc>
      </w:tr>
      <w:tr w14:paraId="32517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347" w:type="dxa"/>
            <w:tcBorders>
              <w:left w:val="single" w:color="000000" w:sz="4" w:space="0"/>
            </w:tcBorders>
            <w:noWrap w:val="0"/>
            <w:vAlign w:val="center"/>
          </w:tcPr>
          <w:p w14:paraId="497FEB4B">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通航建筑物</w:t>
            </w:r>
          </w:p>
        </w:tc>
        <w:tc>
          <w:tcPr>
            <w:tcW w:w="2045" w:type="dxa"/>
            <w:noWrap w:val="0"/>
            <w:vAlign w:val="center"/>
          </w:tcPr>
          <w:p w14:paraId="487B05AA">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船闸等级</w:t>
            </w:r>
            <w:r>
              <w:rPr>
                <w:rFonts w:hint="eastAsia" w:ascii="仿宋_GB2312" w:hAnsi="Calibri" w:eastAsia="仿宋_GB2312" w:cs="Times New Roman"/>
                <w:b w:val="0"/>
                <w:bCs w:val="0"/>
                <w:color w:val="auto"/>
                <w:kern w:val="44"/>
                <w:sz w:val="24"/>
                <w:szCs w:val="24"/>
                <w:lang w:val="en-US" w:eastAsia="zh-CN" w:bidi="ar"/>
              </w:rPr>
              <w:tab/>
            </w:r>
            <w:r>
              <w:rPr>
                <w:rFonts w:hint="eastAsia" w:ascii="仿宋_GB2312" w:hAnsi="Calibri" w:eastAsia="仿宋_GB2312" w:cs="Times New Roman"/>
                <w:b w:val="0"/>
                <w:bCs w:val="0"/>
                <w:color w:val="auto"/>
                <w:kern w:val="44"/>
                <w:sz w:val="24"/>
                <w:szCs w:val="24"/>
                <w:lang w:val="en-US" w:eastAsia="zh-CN" w:bidi="ar"/>
              </w:rPr>
              <w:t>吨级</w:t>
            </w:r>
          </w:p>
        </w:tc>
        <w:tc>
          <w:tcPr>
            <w:tcW w:w="2288" w:type="dxa"/>
            <w:noWrap w:val="0"/>
            <w:vAlign w:val="center"/>
          </w:tcPr>
          <w:p w14:paraId="218C7D85">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100（含）以上</w:t>
            </w:r>
          </w:p>
        </w:tc>
        <w:tc>
          <w:tcPr>
            <w:tcW w:w="2228" w:type="dxa"/>
            <w:tcBorders>
              <w:right w:val="single" w:color="000000" w:sz="4" w:space="0"/>
            </w:tcBorders>
            <w:noWrap w:val="0"/>
            <w:vAlign w:val="center"/>
          </w:tcPr>
          <w:p w14:paraId="00947C2C">
            <w:pPr>
              <w:spacing w:line="240" w:lineRule="auto"/>
              <w:jc w:val="center"/>
              <w:rPr>
                <w:rFonts w:hint="eastAsia" w:ascii="仿宋_GB2312" w:hAnsi="Calibri" w:eastAsia="仿宋_GB2312" w:cs="Times New Roman"/>
                <w:b w:val="0"/>
                <w:bCs w:val="0"/>
                <w:color w:val="auto"/>
                <w:kern w:val="44"/>
                <w:sz w:val="24"/>
                <w:szCs w:val="24"/>
                <w:lang w:val="en-US" w:eastAsia="zh-CN" w:bidi="ar"/>
              </w:rPr>
            </w:pPr>
          </w:p>
        </w:tc>
      </w:tr>
      <w:tr w14:paraId="3DDCF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2347" w:type="dxa"/>
            <w:tcBorders>
              <w:left w:val="single" w:color="000000" w:sz="4" w:space="0"/>
            </w:tcBorders>
            <w:noWrap w:val="0"/>
            <w:vAlign w:val="center"/>
          </w:tcPr>
          <w:p w14:paraId="5AD07FD2">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其他工程</w:t>
            </w:r>
          </w:p>
        </w:tc>
        <w:tc>
          <w:tcPr>
            <w:tcW w:w="2045" w:type="dxa"/>
            <w:noWrap w:val="0"/>
            <w:vAlign w:val="center"/>
          </w:tcPr>
          <w:p w14:paraId="10EA4CB2">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投资</w:t>
            </w:r>
            <w:r>
              <w:rPr>
                <w:rFonts w:hint="eastAsia" w:ascii="仿宋_GB2312" w:hAnsi="Calibri" w:eastAsia="仿宋_GB2312" w:cs="Times New Roman"/>
                <w:b w:val="0"/>
                <w:bCs w:val="0"/>
                <w:color w:val="auto"/>
                <w:kern w:val="44"/>
                <w:sz w:val="24"/>
                <w:szCs w:val="24"/>
                <w:lang w:val="en-US" w:eastAsia="zh-CN" w:bidi="ar"/>
              </w:rPr>
              <w:tab/>
            </w:r>
            <w:r>
              <w:rPr>
                <w:rFonts w:hint="eastAsia" w:ascii="仿宋_GB2312" w:hAnsi="Calibri" w:eastAsia="仿宋_GB2312" w:cs="Times New Roman"/>
                <w:b w:val="0"/>
                <w:bCs w:val="0"/>
                <w:color w:val="auto"/>
                <w:kern w:val="44"/>
                <w:sz w:val="24"/>
                <w:szCs w:val="24"/>
                <w:lang w:val="en-US" w:eastAsia="zh-CN" w:bidi="ar"/>
              </w:rPr>
              <w:t>亿元</w:t>
            </w:r>
          </w:p>
        </w:tc>
        <w:tc>
          <w:tcPr>
            <w:tcW w:w="2288" w:type="dxa"/>
            <w:noWrap w:val="0"/>
            <w:vAlign w:val="center"/>
          </w:tcPr>
          <w:p w14:paraId="5C923466">
            <w:pPr>
              <w:spacing w:line="240" w:lineRule="auto"/>
              <w:jc w:val="center"/>
              <w:rPr>
                <w:rFonts w:hint="default"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0.5以上</w:t>
            </w:r>
          </w:p>
        </w:tc>
        <w:tc>
          <w:tcPr>
            <w:tcW w:w="2228" w:type="dxa"/>
            <w:tcBorders>
              <w:right w:val="single" w:color="000000" w:sz="4" w:space="0"/>
            </w:tcBorders>
            <w:noWrap w:val="0"/>
            <w:vAlign w:val="center"/>
          </w:tcPr>
          <w:p w14:paraId="5E4753C0">
            <w:pPr>
              <w:spacing w:line="240" w:lineRule="auto"/>
              <w:jc w:val="center"/>
              <w:rPr>
                <w:rFonts w:hint="eastAsia" w:ascii="仿宋_GB2312" w:hAnsi="Calibri" w:eastAsia="仿宋_GB2312" w:cs="Times New Roman"/>
                <w:b w:val="0"/>
                <w:bCs w:val="0"/>
                <w:color w:val="auto"/>
                <w:kern w:val="44"/>
                <w:sz w:val="24"/>
                <w:szCs w:val="24"/>
                <w:lang w:val="en-US" w:eastAsia="zh-CN" w:bidi="ar"/>
              </w:rPr>
            </w:pPr>
          </w:p>
        </w:tc>
      </w:tr>
    </w:tbl>
    <w:p w14:paraId="6B42A422">
      <w:pPr>
        <w:numPr>
          <w:ilvl w:val="0"/>
          <w:numId w:val="1"/>
        </w:numPr>
        <w:adjustRightInd w:val="0"/>
        <w:snapToGrid w:val="0"/>
        <w:spacing w:line="600" w:lineRule="exact"/>
        <w:ind w:left="0" w:leftChars="0" w:firstLine="0" w:firstLineChars="0"/>
        <w:rPr>
          <w:rFonts w:hint="default" w:ascii="仿宋_GB2312" w:hAnsi="Times New Roman" w:eastAsia="仿宋_GB2312" w:cs="Times New Roman"/>
          <w:b/>
          <w:bCs/>
          <w:color w:val="auto"/>
          <w:sz w:val="30"/>
          <w:szCs w:val="30"/>
          <w:lang w:val="en-US" w:eastAsia="zh-CN"/>
        </w:rPr>
      </w:pPr>
      <w:r>
        <w:rPr>
          <w:rFonts w:hint="eastAsia" w:ascii="仿宋_GB2312" w:hAnsi="Times New Roman" w:eastAsia="仿宋_GB2312" w:cs="Times New Roman"/>
          <w:b/>
          <w:bCs/>
          <w:color w:val="auto"/>
          <w:sz w:val="30"/>
          <w:szCs w:val="30"/>
          <w:lang w:val="en-US" w:eastAsia="zh-CN"/>
        </w:rPr>
        <w:t>水利工程</w:t>
      </w:r>
    </w:p>
    <w:p w14:paraId="044B2CFC">
      <w:pPr>
        <w:bidi w:val="0"/>
        <w:jc w:val="left"/>
        <w:rPr>
          <w:rFonts w:hint="eastAsia"/>
          <w:color w:val="auto"/>
          <w:lang w:val="en-US" w:eastAsia="zh-CN"/>
        </w:rPr>
      </w:pPr>
    </w:p>
    <w:tbl>
      <w:tblPr>
        <w:tblStyle w:val="13"/>
        <w:tblW w:w="89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66"/>
        <w:gridCol w:w="2034"/>
        <w:gridCol w:w="2288"/>
        <w:gridCol w:w="2231"/>
      </w:tblGrid>
      <w:tr w14:paraId="428DF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366" w:type="dxa"/>
            <w:noWrap w:val="0"/>
            <w:vAlign w:val="center"/>
          </w:tcPr>
          <w:p w14:paraId="57066042">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eastAsia="仿宋_GB2312"/>
                <w:b/>
                <w:bCs/>
                <w:color w:val="auto"/>
                <w:sz w:val="24"/>
                <w:szCs w:val="24"/>
              </w:rPr>
              <w:t>行业项目</w:t>
            </w:r>
          </w:p>
        </w:tc>
        <w:tc>
          <w:tcPr>
            <w:tcW w:w="2034" w:type="dxa"/>
            <w:noWrap w:val="0"/>
            <w:vAlign w:val="center"/>
          </w:tcPr>
          <w:p w14:paraId="06C159CA">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eastAsia="仿宋_GB2312"/>
                <w:b/>
                <w:bCs/>
                <w:color w:val="auto"/>
                <w:sz w:val="24"/>
                <w:szCs w:val="24"/>
              </w:rPr>
              <w:t>计量单位</w:t>
            </w:r>
          </w:p>
        </w:tc>
        <w:tc>
          <w:tcPr>
            <w:tcW w:w="2288" w:type="dxa"/>
            <w:noWrap w:val="0"/>
            <w:vAlign w:val="center"/>
          </w:tcPr>
          <w:p w14:paraId="41C2344A">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eastAsia="仿宋_GB2312"/>
                <w:b/>
                <w:bCs/>
                <w:color w:val="auto"/>
                <w:sz w:val="24"/>
                <w:szCs w:val="24"/>
              </w:rPr>
              <w:t>规模（及以上）</w:t>
            </w:r>
          </w:p>
        </w:tc>
        <w:tc>
          <w:tcPr>
            <w:tcW w:w="2231" w:type="dxa"/>
            <w:noWrap w:val="0"/>
            <w:vAlign w:val="center"/>
          </w:tcPr>
          <w:p w14:paraId="57D4564C">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eastAsia="仿宋_GB2312"/>
                <w:b/>
                <w:bCs/>
                <w:color w:val="auto"/>
                <w:sz w:val="24"/>
                <w:szCs w:val="24"/>
              </w:rPr>
              <w:t>备注</w:t>
            </w:r>
          </w:p>
        </w:tc>
      </w:tr>
      <w:tr w14:paraId="1641CC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366" w:type="dxa"/>
            <w:noWrap w:val="0"/>
            <w:vAlign w:val="center"/>
          </w:tcPr>
          <w:p w14:paraId="0B51DCC0">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水库工程</w:t>
            </w:r>
          </w:p>
        </w:tc>
        <w:tc>
          <w:tcPr>
            <w:tcW w:w="2034" w:type="dxa"/>
            <w:noWrap w:val="0"/>
            <w:vAlign w:val="center"/>
          </w:tcPr>
          <w:p w14:paraId="153C1B27">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库容  亿立方米</w:t>
            </w:r>
          </w:p>
          <w:p w14:paraId="2B9C4D83">
            <w:pPr>
              <w:spacing w:line="240" w:lineRule="auto"/>
              <w:jc w:val="both"/>
              <w:rPr>
                <w:rFonts w:hint="default"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或坝高    米</w:t>
            </w:r>
          </w:p>
        </w:tc>
        <w:tc>
          <w:tcPr>
            <w:tcW w:w="2288" w:type="dxa"/>
            <w:noWrap w:val="0"/>
            <w:vAlign w:val="center"/>
          </w:tcPr>
          <w:p w14:paraId="1EBE4EA7">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0.1以上</w:t>
            </w:r>
          </w:p>
          <w:p w14:paraId="132ED164">
            <w:pPr>
              <w:spacing w:line="240" w:lineRule="auto"/>
              <w:jc w:val="center"/>
              <w:rPr>
                <w:rFonts w:hint="default"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或20以上</w:t>
            </w:r>
          </w:p>
        </w:tc>
        <w:tc>
          <w:tcPr>
            <w:tcW w:w="2231" w:type="dxa"/>
            <w:noWrap w:val="0"/>
            <w:vAlign w:val="center"/>
          </w:tcPr>
          <w:p w14:paraId="7A4F34C1">
            <w:pPr>
              <w:spacing w:line="240" w:lineRule="auto"/>
              <w:jc w:val="center"/>
              <w:rPr>
                <w:rFonts w:hint="eastAsia" w:ascii="仿宋_GB2312" w:hAnsi="Calibri" w:eastAsia="仿宋_GB2312" w:cs="Times New Roman"/>
                <w:b w:val="0"/>
                <w:bCs w:val="0"/>
                <w:color w:val="auto"/>
                <w:kern w:val="44"/>
                <w:sz w:val="24"/>
                <w:szCs w:val="24"/>
                <w:lang w:val="en-US" w:eastAsia="zh-CN" w:bidi="ar"/>
              </w:rPr>
            </w:pPr>
          </w:p>
        </w:tc>
      </w:tr>
      <w:tr w14:paraId="2CB997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366" w:type="dxa"/>
            <w:noWrap w:val="0"/>
            <w:vAlign w:val="center"/>
          </w:tcPr>
          <w:p w14:paraId="5D07ADB0">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水闸工程</w:t>
            </w:r>
          </w:p>
        </w:tc>
        <w:tc>
          <w:tcPr>
            <w:tcW w:w="2034" w:type="dxa"/>
            <w:noWrap w:val="0"/>
            <w:vAlign w:val="center"/>
          </w:tcPr>
          <w:p w14:paraId="031DC42C">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过闸流量    立方米/秒</w:t>
            </w:r>
          </w:p>
        </w:tc>
        <w:tc>
          <w:tcPr>
            <w:tcW w:w="2288" w:type="dxa"/>
            <w:noWrap w:val="0"/>
            <w:vAlign w:val="center"/>
          </w:tcPr>
          <w:p w14:paraId="5EC1B022">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100</w:t>
            </w:r>
          </w:p>
        </w:tc>
        <w:tc>
          <w:tcPr>
            <w:tcW w:w="2231" w:type="dxa"/>
            <w:noWrap w:val="0"/>
            <w:vAlign w:val="center"/>
          </w:tcPr>
          <w:p w14:paraId="554A046D">
            <w:pPr>
              <w:spacing w:line="240" w:lineRule="auto"/>
              <w:jc w:val="center"/>
              <w:rPr>
                <w:rFonts w:hint="eastAsia" w:ascii="仿宋_GB2312" w:hAnsi="Calibri" w:eastAsia="仿宋_GB2312" w:cs="Times New Roman"/>
                <w:b w:val="0"/>
                <w:bCs w:val="0"/>
                <w:color w:val="auto"/>
                <w:kern w:val="44"/>
                <w:sz w:val="24"/>
                <w:szCs w:val="24"/>
                <w:lang w:val="en-US" w:eastAsia="zh-CN" w:bidi="ar"/>
              </w:rPr>
            </w:pPr>
          </w:p>
        </w:tc>
      </w:tr>
      <w:tr w14:paraId="3FDCD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366" w:type="dxa"/>
            <w:noWrap w:val="0"/>
            <w:vAlign w:val="center"/>
          </w:tcPr>
          <w:p w14:paraId="211648C3">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其它水利工程</w:t>
            </w:r>
          </w:p>
        </w:tc>
        <w:tc>
          <w:tcPr>
            <w:tcW w:w="2034" w:type="dxa"/>
            <w:noWrap w:val="0"/>
            <w:vAlign w:val="center"/>
          </w:tcPr>
          <w:p w14:paraId="47B45A4E">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投资   亿元</w:t>
            </w:r>
          </w:p>
        </w:tc>
        <w:tc>
          <w:tcPr>
            <w:tcW w:w="2288" w:type="dxa"/>
            <w:noWrap w:val="0"/>
            <w:vAlign w:val="center"/>
          </w:tcPr>
          <w:p w14:paraId="1BB64FC2">
            <w:pPr>
              <w:spacing w:line="240" w:lineRule="auto"/>
              <w:jc w:val="center"/>
              <w:rPr>
                <w:rFonts w:hint="default"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0.5</w:t>
            </w:r>
          </w:p>
        </w:tc>
        <w:tc>
          <w:tcPr>
            <w:tcW w:w="2231" w:type="dxa"/>
            <w:noWrap w:val="0"/>
            <w:vAlign w:val="center"/>
          </w:tcPr>
          <w:p w14:paraId="153BB42A">
            <w:pPr>
              <w:spacing w:line="240" w:lineRule="auto"/>
              <w:jc w:val="center"/>
              <w:rPr>
                <w:rFonts w:hint="eastAsia" w:ascii="仿宋_GB2312" w:hAnsi="Calibri" w:eastAsia="仿宋_GB2312" w:cs="Times New Roman"/>
                <w:b w:val="0"/>
                <w:bCs w:val="0"/>
                <w:color w:val="auto"/>
                <w:kern w:val="44"/>
                <w:sz w:val="24"/>
                <w:szCs w:val="24"/>
                <w:lang w:val="en-US" w:eastAsia="zh-CN" w:bidi="ar"/>
              </w:rPr>
            </w:pPr>
          </w:p>
        </w:tc>
      </w:tr>
    </w:tbl>
    <w:p w14:paraId="779D050F">
      <w:pPr>
        <w:numPr>
          <w:ilvl w:val="0"/>
          <w:numId w:val="1"/>
        </w:numPr>
        <w:adjustRightInd w:val="0"/>
        <w:snapToGrid w:val="0"/>
        <w:spacing w:line="600" w:lineRule="exact"/>
        <w:ind w:left="0" w:leftChars="0" w:firstLine="0" w:firstLineChars="0"/>
        <w:rPr>
          <w:rFonts w:hint="default" w:ascii="仿宋_GB2312" w:hAnsi="Times New Roman" w:eastAsia="仿宋_GB2312" w:cs="Times New Roman"/>
          <w:b/>
          <w:bCs/>
          <w:sz w:val="30"/>
          <w:szCs w:val="30"/>
          <w:lang w:val="en-US" w:eastAsia="zh-CN"/>
        </w:rPr>
      </w:pPr>
      <w:r>
        <w:rPr>
          <w:rFonts w:hint="eastAsia" w:ascii="仿宋_GB2312" w:hAnsi="Times New Roman" w:eastAsia="仿宋_GB2312" w:cs="Times New Roman"/>
          <w:b/>
          <w:bCs/>
          <w:sz w:val="30"/>
          <w:szCs w:val="30"/>
          <w:lang w:val="en-US" w:eastAsia="zh-CN"/>
        </w:rPr>
        <w:t>市政公用工程</w:t>
      </w:r>
    </w:p>
    <w:p w14:paraId="2EDC1F37">
      <w:pPr>
        <w:bidi w:val="0"/>
        <w:jc w:val="left"/>
        <w:rPr>
          <w:rFonts w:hint="eastAsia"/>
          <w:lang w:val="en-US" w:eastAsia="zh-CN"/>
        </w:rPr>
      </w:pPr>
    </w:p>
    <w:tbl>
      <w:tblPr>
        <w:tblStyle w:val="13"/>
        <w:tblW w:w="890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55"/>
        <w:gridCol w:w="2033"/>
        <w:gridCol w:w="2312"/>
        <w:gridCol w:w="2208"/>
      </w:tblGrid>
      <w:tr w14:paraId="4EA0B2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355" w:type="dxa"/>
            <w:noWrap w:val="0"/>
            <w:vAlign w:val="center"/>
          </w:tcPr>
          <w:p w14:paraId="6E348664">
            <w:pPr>
              <w:spacing w:line="240" w:lineRule="auto"/>
              <w:jc w:val="center"/>
              <w:rPr>
                <w:rFonts w:hint="eastAsia" w:ascii="仿宋_GB2312" w:hAnsi="Calibri" w:eastAsia="仿宋_GB2312" w:cs="Times New Roman"/>
                <w:b w:val="0"/>
                <w:bCs w:val="0"/>
                <w:color w:val="C00000"/>
                <w:kern w:val="44"/>
                <w:sz w:val="24"/>
                <w:szCs w:val="24"/>
                <w:lang w:val="en-US" w:eastAsia="zh-CN" w:bidi="ar"/>
              </w:rPr>
            </w:pPr>
            <w:r>
              <w:rPr>
                <w:rFonts w:hint="eastAsia" w:ascii="仿宋_GB2312" w:eastAsia="仿宋_GB2312"/>
                <w:b/>
                <w:bCs/>
                <w:sz w:val="24"/>
                <w:szCs w:val="24"/>
              </w:rPr>
              <w:t>行业项目</w:t>
            </w:r>
          </w:p>
        </w:tc>
        <w:tc>
          <w:tcPr>
            <w:tcW w:w="2033" w:type="dxa"/>
            <w:noWrap w:val="0"/>
            <w:vAlign w:val="center"/>
          </w:tcPr>
          <w:p w14:paraId="00B7C297">
            <w:pPr>
              <w:spacing w:line="240" w:lineRule="auto"/>
              <w:jc w:val="center"/>
              <w:rPr>
                <w:rFonts w:hint="eastAsia" w:ascii="仿宋_GB2312" w:hAnsi="Calibri" w:eastAsia="仿宋_GB2312" w:cs="Times New Roman"/>
                <w:b w:val="0"/>
                <w:bCs w:val="0"/>
                <w:color w:val="C00000"/>
                <w:kern w:val="44"/>
                <w:sz w:val="24"/>
                <w:szCs w:val="24"/>
                <w:lang w:val="en-US" w:eastAsia="zh-CN" w:bidi="ar"/>
              </w:rPr>
            </w:pPr>
            <w:r>
              <w:rPr>
                <w:rFonts w:hint="eastAsia" w:ascii="仿宋_GB2312" w:eastAsia="仿宋_GB2312"/>
                <w:b/>
                <w:bCs/>
                <w:sz w:val="24"/>
                <w:szCs w:val="24"/>
              </w:rPr>
              <w:t>计量单位</w:t>
            </w:r>
          </w:p>
        </w:tc>
        <w:tc>
          <w:tcPr>
            <w:tcW w:w="2312" w:type="dxa"/>
            <w:noWrap w:val="0"/>
            <w:vAlign w:val="center"/>
          </w:tcPr>
          <w:p w14:paraId="2A8F8C01">
            <w:pPr>
              <w:spacing w:line="240" w:lineRule="auto"/>
              <w:jc w:val="center"/>
              <w:rPr>
                <w:rFonts w:hint="eastAsia" w:ascii="仿宋_GB2312" w:hAnsi="Calibri" w:eastAsia="仿宋_GB2312" w:cs="Times New Roman"/>
                <w:b w:val="0"/>
                <w:bCs w:val="0"/>
                <w:color w:val="C00000"/>
                <w:kern w:val="44"/>
                <w:sz w:val="24"/>
                <w:szCs w:val="24"/>
                <w:lang w:val="en-US" w:eastAsia="zh-CN" w:bidi="ar"/>
              </w:rPr>
            </w:pPr>
            <w:r>
              <w:rPr>
                <w:rFonts w:hint="eastAsia" w:ascii="仿宋_GB2312" w:eastAsia="仿宋_GB2312"/>
                <w:b/>
                <w:bCs/>
                <w:sz w:val="24"/>
                <w:szCs w:val="24"/>
              </w:rPr>
              <w:t>规模（及以上）</w:t>
            </w:r>
          </w:p>
        </w:tc>
        <w:tc>
          <w:tcPr>
            <w:tcW w:w="2208" w:type="dxa"/>
            <w:noWrap w:val="0"/>
            <w:vAlign w:val="center"/>
          </w:tcPr>
          <w:p w14:paraId="01DB2D12">
            <w:pPr>
              <w:spacing w:line="240" w:lineRule="auto"/>
              <w:jc w:val="center"/>
              <w:rPr>
                <w:rFonts w:hint="eastAsia" w:ascii="仿宋_GB2312" w:hAnsi="Times New Roman" w:eastAsia="仿宋_GB2312" w:cs="Times New Roman"/>
                <w:b/>
                <w:bCs/>
                <w:kern w:val="2"/>
                <w:sz w:val="24"/>
                <w:szCs w:val="24"/>
                <w:lang w:val="en-US" w:eastAsia="zh-CN" w:bidi="ar-SA"/>
              </w:rPr>
            </w:pPr>
            <w:r>
              <w:rPr>
                <w:rFonts w:hint="eastAsia" w:ascii="仿宋_GB2312" w:eastAsia="仿宋_GB2312"/>
                <w:b/>
                <w:bCs/>
                <w:sz w:val="24"/>
                <w:szCs w:val="24"/>
              </w:rPr>
              <w:t>备注</w:t>
            </w:r>
          </w:p>
        </w:tc>
      </w:tr>
      <w:tr w14:paraId="4EE06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355" w:type="dxa"/>
            <w:noWrap w:val="0"/>
            <w:vAlign w:val="top"/>
          </w:tcPr>
          <w:p w14:paraId="388AEFE9">
            <w:pPr>
              <w:pStyle w:val="35"/>
              <w:spacing w:before="96"/>
              <w:ind w:left="46" w:leftChars="0" w:right="27" w:rightChars="0"/>
              <w:jc w:val="center"/>
              <w:rPr>
                <w:rFonts w:hint="eastAsia" w:ascii="仿宋_GB2312" w:hAnsi="Calibri" w:eastAsia="仿宋_GB2312" w:cs="Times New Roman"/>
                <w:b w:val="0"/>
                <w:bCs w:val="0"/>
                <w:color w:val="auto"/>
                <w:kern w:val="44"/>
                <w:sz w:val="24"/>
                <w:szCs w:val="24"/>
                <w:lang w:val="en-US" w:eastAsia="zh-CN" w:bidi="ar"/>
              </w:rPr>
            </w:pPr>
            <w:r>
              <w:rPr>
                <w:sz w:val="24"/>
              </w:rPr>
              <w:t>城镇道路</w:t>
            </w:r>
          </w:p>
        </w:tc>
        <w:tc>
          <w:tcPr>
            <w:tcW w:w="2033" w:type="dxa"/>
            <w:noWrap w:val="0"/>
            <w:vAlign w:val="center"/>
          </w:tcPr>
          <w:p w14:paraId="585DAB6D">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投资</w:t>
            </w:r>
            <w:r>
              <w:rPr>
                <w:rFonts w:hint="eastAsia" w:ascii="仿宋_GB2312" w:hAnsi="Calibri" w:eastAsia="仿宋_GB2312" w:cs="Times New Roman"/>
                <w:b w:val="0"/>
                <w:bCs w:val="0"/>
                <w:color w:val="auto"/>
                <w:kern w:val="44"/>
                <w:sz w:val="24"/>
                <w:szCs w:val="24"/>
                <w:lang w:val="en-US" w:eastAsia="zh-CN" w:bidi="ar"/>
              </w:rPr>
              <w:tab/>
            </w:r>
            <w:r>
              <w:rPr>
                <w:rFonts w:hint="eastAsia" w:ascii="仿宋_GB2312" w:hAnsi="Calibri" w:eastAsia="仿宋_GB2312" w:cs="Times New Roman"/>
                <w:b w:val="0"/>
                <w:bCs w:val="0"/>
                <w:color w:val="auto"/>
                <w:kern w:val="44"/>
                <w:sz w:val="24"/>
                <w:szCs w:val="24"/>
                <w:lang w:val="en-US" w:eastAsia="zh-CN" w:bidi="ar"/>
              </w:rPr>
              <w:t>亿元</w:t>
            </w:r>
          </w:p>
        </w:tc>
        <w:tc>
          <w:tcPr>
            <w:tcW w:w="2312" w:type="dxa"/>
            <w:noWrap w:val="0"/>
            <w:vAlign w:val="center"/>
          </w:tcPr>
          <w:p w14:paraId="0D235F3F">
            <w:pPr>
              <w:spacing w:line="240" w:lineRule="auto"/>
              <w:jc w:val="center"/>
              <w:rPr>
                <w:rFonts w:hint="default"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2</w:t>
            </w:r>
          </w:p>
        </w:tc>
        <w:tc>
          <w:tcPr>
            <w:tcW w:w="2208" w:type="dxa"/>
            <w:noWrap w:val="0"/>
            <w:vAlign w:val="top"/>
          </w:tcPr>
          <w:p w14:paraId="3820D361">
            <w:pPr>
              <w:spacing w:line="240" w:lineRule="auto"/>
              <w:jc w:val="center"/>
              <w:rPr>
                <w:rFonts w:hint="eastAsia" w:ascii="仿宋_GB2312" w:hAnsi="Calibri" w:eastAsia="仿宋_GB2312" w:cs="Times New Roman"/>
                <w:b w:val="0"/>
                <w:bCs w:val="0"/>
                <w:color w:val="auto"/>
                <w:kern w:val="44"/>
                <w:sz w:val="24"/>
                <w:szCs w:val="24"/>
                <w:lang w:val="en-US" w:eastAsia="zh-CN" w:bidi="ar"/>
              </w:rPr>
            </w:pPr>
          </w:p>
        </w:tc>
      </w:tr>
      <w:tr w14:paraId="4DC134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355" w:type="dxa"/>
            <w:noWrap w:val="0"/>
            <w:vAlign w:val="top"/>
          </w:tcPr>
          <w:p w14:paraId="1F577861">
            <w:pPr>
              <w:pStyle w:val="35"/>
              <w:spacing w:before="96"/>
              <w:ind w:left="46" w:leftChars="0" w:right="27" w:rightChars="0"/>
              <w:jc w:val="center"/>
              <w:rPr>
                <w:rFonts w:hint="eastAsia" w:ascii="仿宋_GB2312" w:hAnsi="Calibri" w:eastAsia="仿宋_GB2312" w:cs="Times New Roman"/>
                <w:b w:val="0"/>
                <w:bCs w:val="0"/>
                <w:color w:val="auto"/>
                <w:kern w:val="44"/>
                <w:sz w:val="24"/>
                <w:szCs w:val="24"/>
                <w:lang w:val="en-US" w:eastAsia="zh-CN" w:bidi="ar"/>
              </w:rPr>
            </w:pPr>
            <w:r>
              <w:rPr>
                <w:sz w:val="24"/>
              </w:rPr>
              <w:t>互通立交桥</w:t>
            </w:r>
          </w:p>
        </w:tc>
        <w:tc>
          <w:tcPr>
            <w:tcW w:w="2033" w:type="dxa"/>
            <w:noWrap w:val="0"/>
            <w:vAlign w:val="center"/>
          </w:tcPr>
          <w:p w14:paraId="051C41F0">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投资</w:t>
            </w:r>
            <w:r>
              <w:rPr>
                <w:rFonts w:hint="eastAsia" w:ascii="仿宋_GB2312" w:hAnsi="Calibri" w:eastAsia="仿宋_GB2312" w:cs="Times New Roman"/>
                <w:b w:val="0"/>
                <w:bCs w:val="0"/>
                <w:color w:val="auto"/>
                <w:kern w:val="44"/>
                <w:sz w:val="24"/>
                <w:szCs w:val="24"/>
                <w:lang w:val="en-US" w:eastAsia="zh-CN" w:bidi="ar"/>
              </w:rPr>
              <w:tab/>
            </w:r>
            <w:r>
              <w:rPr>
                <w:rFonts w:hint="eastAsia" w:ascii="仿宋_GB2312" w:hAnsi="Calibri" w:eastAsia="仿宋_GB2312" w:cs="Times New Roman"/>
                <w:b w:val="0"/>
                <w:bCs w:val="0"/>
                <w:color w:val="auto"/>
                <w:kern w:val="44"/>
                <w:sz w:val="24"/>
                <w:szCs w:val="24"/>
                <w:lang w:val="en-US" w:eastAsia="zh-CN" w:bidi="ar"/>
              </w:rPr>
              <w:t>亿元</w:t>
            </w:r>
          </w:p>
        </w:tc>
        <w:tc>
          <w:tcPr>
            <w:tcW w:w="2312" w:type="dxa"/>
            <w:noWrap w:val="0"/>
            <w:vAlign w:val="center"/>
          </w:tcPr>
          <w:p w14:paraId="5237973B">
            <w:pPr>
              <w:spacing w:line="240" w:lineRule="auto"/>
              <w:jc w:val="center"/>
              <w:rPr>
                <w:rFonts w:hint="default"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1</w:t>
            </w:r>
          </w:p>
        </w:tc>
        <w:tc>
          <w:tcPr>
            <w:tcW w:w="2208" w:type="dxa"/>
            <w:noWrap w:val="0"/>
            <w:vAlign w:val="top"/>
          </w:tcPr>
          <w:p w14:paraId="7C8D797B">
            <w:pPr>
              <w:spacing w:line="240" w:lineRule="auto"/>
              <w:jc w:val="center"/>
              <w:rPr>
                <w:rFonts w:hint="eastAsia" w:ascii="仿宋_GB2312" w:hAnsi="Calibri" w:eastAsia="仿宋_GB2312" w:cs="Times New Roman"/>
                <w:b w:val="0"/>
                <w:bCs w:val="0"/>
                <w:color w:val="auto"/>
                <w:kern w:val="44"/>
                <w:sz w:val="24"/>
                <w:szCs w:val="24"/>
                <w:lang w:val="en-US" w:eastAsia="zh-CN" w:bidi="ar"/>
              </w:rPr>
            </w:pPr>
          </w:p>
        </w:tc>
      </w:tr>
      <w:tr w14:paraId="2AE20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355" w:type="dxa"/>
            <w:noWrap w:val="0"/>
            <w:vAlign w:val="top"/>
          </w:tcPr>
          <w:p w14:paraId="56896D09">
            <w:pPr>
              <w:pStyle w:val="35"/>
              <w:spacing w:before="96"/>
              <w:ind w:left="46" w:leftChars="0" w:right="27" w:rightChars="0"/>
              <w:jc w:val="center"/>
              <w:rPr>
                <w:rFonts w:hint="eastAsia" w:ascii="仿宋_GB2312" w:hAnsi="Calibri" w:eastAsia="仿宋_GB2312" w:cs="Times New Roman"/>
                <w:b w:val="0"/>
                <w:bCs w:val="0"/>
                <w:color w:val="auto"/>
                <w:kern w:val="44"/>
                <w:sz w:val="24"/>
                <w:szCs w:val="24"/>
                <w:lang w:val="en-US" w:eastAsia="zh-CN" w:bidi="ar"/>
              </w:rPr>
            </w:pPr>
            <w:r>
              <w:rPr>
                <w:sz w:val="24"/>
              </w:rPr>
              <w:t>城镇道路高架桥</w:t>
            </w:r>
          </w:p>
        </w:tc>
        <w:tc>
          <w:tcPr>
            <w:tcW w:w="2033" w:type="dxa"/>
            <w:noWrap w:val="0"/>
            <w:vAlign w:val="center"/>
          </w:tcPr>
          <w:p w14:paraId="379E6CEF">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投资</w:t>
            </w:r>
            <w:r>
              <w:rPr>
                <w:rFonts w:hint="eastAsia" w:ascii="仿宋_GB2312" w:hAnsi="Calibri" w:eastAsia="仿宋_GB2312" w:cs="Times New Roman"/>
                <w:b w:val="0"/>
                <w:bCs w:val="0"/>
                <w:color w:val="auto"/>
                <w:kern w:val="44"/>
                <w:sz w:val="24"/>
                <w:szCs w:val="24"/>
                <w:lang w:val="en-US" w:eastAsia="zh-CN" w:bidi="ar"/>
              </w:rPr>
              <w:tab/>
            </w:r>
            <w:r>
              <w:rPr>
                <w:rFonts w:hint="eastAsia" w:ascii="仿宋_GB2312" w:hAnsi="Calibri" w:eastAsia="仿宋_GB2312" w:cs="Times New Roman"/>
                <w:b w:val="0"/>
                <w:bCs w:val="0"/>
                <w:color w:val="auto"/>
                <w:kern w:val="44"/>
                <w:sz w:val="24"/>
                <w:szCs w:val="24"/>
                <w:lang w:val="en-US" w:eastAsia="zh-CN" w:bidi="ar"/>
              </w:rPr>
              <w:t>亿元</w:t>
            </w:r>
          </w:p>
        </w:tc>
        <w:tc>
          <w:tcPr>
            <w:tcW w:w="2312" w:type="dxa"/>
            <w:noWrap w:val="0"/>
            <w:vAlign w:val="center"/>
          </w:tcPr>
          <w:p w14:paraId="2D55F25D">
            <w:pPr>
              <w:spacing w:line="240" w:lineRule="auto"/>
              <w:jc w:val="center"/>
              <w:rPr>
                <w:rFonts w:hint="default"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1</w:t>
            </w:r>
          </w:p>
        </w:tc>
        <w:tc>
          <w:tcPr>
            <w:tcW w:w="2208" w:type="dxa"/>
            <w:noWrap w:val="0"/>
            <w:vAlign w:val="center"/>
          </w:tcPr>
          <w:p w14:paraId="3BB0B5F4">
            <w:pPr>
              <w:spacing w:line="240" w:lineRule="auto"/>
              <w:jc w:val="center"/>
              <w:rPr>
                <w:rFonts w:hint="default"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连续</w:t>
            </w:r>
          </w:p>
        </w:tc>
      </w:tr>
      <w:tr w14:paraId="403554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355" w:type="dxa"/>
            <w:noWrap w:val="0"/>
            <w:vAlign w:val="center"/>
          </w:tcPr>
          <w:p w14:paraId="0E01C8D7">
            <w:pPr>
              <w:pStyle w:val="35"/>
              <w:ind w:left="0" w:leftChars="0" w:right="27" w:rightChars="0" w:firstLine="0" w:firstLineChars="0"/>
              <w:jc w:val="center"/>
              <w:rPr>
                <w:rFonts w:hint="eastAsia" w:ascii="仿宋_GB2312" w:hAnsi="Calibri" w:eastAsia="仿宋_GB2312" w:cs="Times New Roman"/>
                <w:b w:val="0"/>
                <w:bCs w:val="0"/>
                <w:color w:val="auto"/>
                <w:kern w:val="44"/>
                <w:sz w:val="24"/>
                <w:szCs w:val="24"/>
                <w:lang w:val="en-US" w:eastAsia="zh-CN" w:bidi="ar"/>
              </w:rPr>
            </w:pPr>
            <w:r>
              <w:rPr>
                <w:sz w:val="24"/>
              </w:rPr>
              <w:t>城镇隧道</w:t>
            </w:r>
          </w:p>
        </w:tc>
        <w:tc>
          <w:tcPr>
            <w:tcW w:w="2033" w:type="dxa"/>
            <w:noWrap w:val="0"/>
            <w:vAlign w:val="center"/>
          </w:tcPr>
          <w:p w14:paraId="6B4E9F59">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公里</w:t>
            </w:r>
          </w:p>
        </w:tc>
        <w:tc>
          <w:tcPr>
            <w:tcW w:w="2312" w:type="dxa"/>
            <w:noWrap w:val="0"/>
            <w:vAlign w:val="center"/>
          </w:tcPr>
          <w:p w14:paraId="39BE6789">
            <w:pPr>
              <w:spacing w:line="240" w:lineRule="auto"/>
              <w:jc w:val="center"/>
              <w:rPr>
                <w:rFonts w:hint="default"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0.5</w:t>
            </w:r>
          </w:p>
        </w:tc>
        <w:tc>
          <w:tcPr>
            <w:tcW w:w="2208" w:type="dxa"/>
            <w:noWrap w:val="0"/>
            <w:vAlign w:val="center"/>
          </w:tcPr>
          <w:p w14:paraId="266EE110">
            <w:pPr>
              <w:spacing w:line="240" w:lineRule="auto"/>
              <w:jc w:val="center"/>
              <w:rPr>
                <w:rFonts w:hint="default"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连续</w:t>
            </w:r>
          </w:p>
        </w:tc>
      </w:tr>
      <w:tr w14:paraId="1427F4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355" w:type="dxa"/>
            <w:noWrap w:val="0"/>
            <w:vAlign w:val="center"/>
          </w:tcPr>
          <w:p w14:paraId="5F3F2CA3">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供水厂</w:t>
            </w:r>
          </w:p>
        </w:tc>
        <w:tc>
          <w:tcPr>
            <w:tcW w:w="2033" w:type="dxa"/>
            <w:noWrap w:val="0"/>
            <w:vAlign w:val="center"/>
          </w:tcPr>
          <w:p w14:paraId="4980EF38">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日供水  万吨</w:t>
            </w:r>
          </w:p>
        </w:tc>
        <w:tc>
          <w:tcPr>
            <w:tcW w:w="2312" w:type="dxa"/>
            <w:noWrap w:val="0"/>
            <w:vAlign w:val="center"/>
          </w:tcPr>
          <w:p w14:paraId="22A60E2C">
            <w:pPr>
              <w:spacing w:line="240" w:lineRule="auto"/>
              <w:jc w:val="center"/>
              <w:rPr>
                <w:rFonts w:hint="default"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2以上</w:t>
            </w:r>
          </w:p>
        </w:tc>
        <w:tc>
          <w:tcPr>
            <w:tcW w:w="2208" w:type="dxa"/>
            <w:noWrap w:val="0"/>
            <w:vAlign w:val="top"/>
          </w:tcPr>
          <w:p w14:paraId="43489832">
            <w:pPr>
              <w:spacing w:line="240" w:lineRule="auto"/>
              <w:jc w:val="center"/>
              <w:rPr>
                <w:rFonts w:hint="eastAsia" w:ascii="仿宋_GB2312" w:hAnsi="Calibri" w:eastAsia="仿宋_GB2312" w:cs="Times New Roman"/>
                <w:b w:val="0"/>
                <w:bCs w:val="0"/>
                <w:color w:val="auto"/>
                <w:kern w:val="44"/>
                <w:sz w:val="24"/>
                <w:szCs w:val="24"/>
                <w:lang w:val="en-US" w:eastAsia="zh-CN" w:bidi="ar"/>
              </w:rPr>
            </w:pPr>
          </w:p>
        </w:tc>
      </w:tr>
      <w:tr w14:paraId="179B7F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355" w:type="dxa"/>
            <w:noWrap w:val="0"/>
            <w:vAlign w:val="center"/>
          </w:tcPr>
          <w:p w14:paraId="1DAC14AF">
            <w:pPr>
              <w:spacing w:line="240" w:lineRule="auto"/>
              <w:jc w:val="center"/>
              <w:rPr>
                <w:rFonts w:hint="default"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污水处理厂</w:t>
            </w:r>
          </w:p>
        </w:tc>
        <w:tc>
          <w:tcPr>
            <w:tcW w:w="2033" w:type="dxa"/>
            <w:noWrap w:val="0"/>
            <w:vAlign w:val="center"/>
          </w:tcPr>
          <w:p w14:paraId="74157146">
            <w:pPr>
              <w:spacing w:line="240" w:lineRule="auto"/>
              <w:jc w:val="center"/>
              <w:rPr>
                <w:rFonts w:hint="default"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日处理  万吨</w:t>
            </w:r>
          </w:p>
        </w:tc>
        <w:tc>
          <w:tcPr>
            <w:tcW w:w="2312" w:type="dxa"/>
            <w:noWrap w:val="0"/>
            <w:vAlign w:val="center"/>
          </w:tcPr>
          <w:p w14:paraId="22122A0B">
            <w:pPr>
              <w:spacing w:line="240" w:lineRule="auto"/>
              <w:jc w:val="center"/>
              <w:rPr>
                <w:rFonts w:hint="default"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2以上</w:t>
            </w:r>
          </w:p>
        </w:tc>
        <w:tc>
          <w:tcPr>
            <w:tcW w:w="2208" w:type="dxa"/>
            <w:noWrap w:val="0"/>
            <w:vAlign w:val="top"/>
          </w:tcPr>
          <w:p w14:paraId="27A56C6D">
            <w:pPr>
              <w:spacing w:line="240" w:lineRule="auto"/>
              <w:jc w:val="center"/>
              <w:rPr>
                <w:rFonts w:hint="eastAsia" w:ascii="仿宋_GB2312" w:hAnsi="Calibri" w:eastAsia="仿宋_GB2312" w:cs="Times New Roman"/>
                <w:b w:val="0"/>
                <w:bCs w:val="0"/>
                <w:color w:val="auto"/>
                <w:kern w:val="44"/>
                <w:sz w:val="24"/>
                <w:szCs w:val="24"/>
                <w:lang w:val="en-US" w:eastAsia="zh-CN" w:bidi="ar"/>
              </w:rPr>
            </w:pPr>
          </w:p>
        </w:tc>
      </w:tr>
      <w:tr w14:paraId="7BC61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355" w:type="dxa"/>
            <w:noWrap w:val="0"/>
            <w:vAlign w:val="center"/>
          </w:tcPr>
          <w:p w14:paraId="5F835DB8">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垃圾卫生处理工程</w:t>
            </w:r>
          </w:p>
        </w:tc>
        <w:tc>
          <w:tcPr>
            <w:tcW w:w="2033" w:type="dxa"/>
            <w:noWrap w:val="0"/>
            <w:vAlign w:val="center"/>
          </w:tcPr>
          <w:p w14:paraId="5B281C84">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日处理  万吨</w:t>
            </w:r>
          </w:p>
        </w:tc>
        <w:tc>
          <w:tcPr>
            <w:tcW w:w="2312" w:type="dxa"/>
            <w:noWrap w:val="0"/>
            <w:vAlign w:val="center"/>
          </w:tcPr>
          <w:p w14:paraId="1A5625D7">
            <w:pPr>
              <w:spacing w:line="240" w:lineRule="auto"/>
              <w:jc w:val="center"/>
              <w:rPr>
                <w:rFonts w:hint="default"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600以上</w:t>
            </w:r>
          </w:p>
        </w:tc>
        <w:tc>
          <w:tcPr>
            <w:tcW w:w="2208" w:type="dxa"/>
            <w:noWrap w:val="0"/>
            <w:vAlign w:val="top"/>
          </w:tcPr>
          <w:p w14:paraId="134F262E">
            <w:pPr>
              <w:spacing w:line="240" w:lineRule="auto"/>
              <w:jc w:val="center"/>
              <w:rPr>
                <w:rFonts w:hint="eastAsia" w:ascii="仿宋_GB2312" w:hAnsi="Calibri" w:eastAsia="仿宋_GB2312" w:cs="Times New Roman"/>
                <w:b w:val="0"/>
                <w:bCs w:val="0"/>
                <w:color w:val="auto"/>
                <w:kern w:val="44"/>
                <w:sz w:val="24"/>
                <w:szCs w:val="24"/>
                <w:lang w:val="en-US" w:eastAsia="zh-CN" w:bidi="ar"/>
              </w:rPr>
            </w:pPr>
          </w:p>
        </w:tc>
      </w:tr>
      <w:tr w14:paraId="78822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355" w:type="dxa"/>
            <w:noWrap w:val="0"/>
            <w:vAlign w:val="center"/>
          </w:tcPr>
          <w:p w14:paraId="2790B8DD">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园林建筑工程、人造景观</w:t>
            </w:r>
          </w:p>
        </w:tc>
        <w:tc>
          <w:tcPr>
            <w:tcW w:w="2033" w:type="dxa"/>
            <w:noWrap w:val="0"/>
            <w:vAlign w:val="center"/>
          </w:tcPr>
          <w:p w14:paraId="7179FFA2">
            <w:pPr>
              <w:spacing w:line="240" w:lineRule="auto"/>
              <w:jc w:val="center"/>
              <w:rPr>
                <w:rFonts w:hint="default"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占地面积 平方米</w:t>
            </w:r>
          </w:p>
        </w:tc>
        <w:tc>
          <w:tcPr>
            <w:tcW w:w="2312" w:type="dxa"/>
            <w:noWrap w:val="0"/>
            <w:vAlign w:val="center"/>
          </w:tcPr>
          <w:p w14:paraId="46D139C6">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20000</w:t>
            </w:r>
          </w:p>
        </w:tc>
        <w:tc>
          <w:tcPr>
            <w:tcW w:w="2208" w:type="dxa"/>
            <w:noWrap w:val="0"/>
            <w:vAlign w:val="center"/>
          </w:tcPr>
          <w:p w14:paraId="40DBBC07">
            <w:pPr>
              <w:spacing w:line="240" w:lineRule="auto"/>
              <w:jc w:val="center"/>
              <w:rPr>
                <w:rFonts w:hint="eastAsia" w:ascii="仿宋_GB2312" w:hAnsi="Calibri" w:eastAsia="仿宋_GB2312" w:cs="Times New Roman"/>
                <w:b w:val="0"/>
                <w:bCs w:val="0"/>
                <w:color w:val="auto"/>
                <w:kern w:val="44"/>
                <w:sz w:val="24"/>
                <w:szCs w:val="24"/>
                <w:lang w:val="en-US" w:eastAsia="zh-CN" w:bidi="ar"/>
              </w:rPr>
            </w:pPr>
          </w:p>
        </w:tc>
      </w:tr>
      <w:tr w14:paraId="1FDF30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355" w:type="dxa"/>
            <w:noWrap w:val="0"/>
            <w:vAlign w:val="center"/>
          </w:tcPr>
          <w:p w14:paraId="14C4B792">
            <w:pPr>
              <w:spacing w:line="240" w:lineRule="auto"/>
              <w:jc w:val="center"/>
              <w:rPr>
                <w:rFonts w:hint="default"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城市轨道交通工程</w:t>
            </w:r>
          </w:p>
        </w:tc>
        <w:tc>
          <w:tcPr>
            <w:tcW w:w="2033" w:type="dxa"/>
            <w:noWrap w:val="0"/>
            <w:vAlign w:val="center"/>
          </w:tcPr>
          <w:p w14:paraId="2A70F0B3">
            <w:pPr>
              <w:spacing w:line="240" w:lineRule="auto"/>
              <w:jc w:val="center"/>
              <w:rPr>
                <w:rFonts w:hint="default"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长度   公里</w:t>
            </w:r>
          </w:p>
        </w:tc>
        <w:tc>
          <w:tcPr>
            <w:tcW w:w="2312" w:type="dxa"/>
            <w:noWrap w:val="0"/>
            <w:vAlign w:val="center"/>
          </w:tcPr>
          <w:p w14:paraId="2A14AB09">
            <w:pPr>
              <w:spacing w:line="240" w:lineRule="auto"/>
              <w:jc w:val="center"/>
              <w:rPr>
                <w:rFonts w:hint="default"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3</w:t>
            </w:r>
          </w:p>
        </w:tc>
        <w:tc>
          <w:tcPr>
            <w:tcW w:w="2208" w:type="dxa"/>
            <w:noWrap w:val="0"/>
            <w:vAlign w:val="center"/>
          </w:tcPr>
          <w:p w14:paraId="5EDA64AF">
            <w:pPr>
              <w:spacing w:line="240" w:lineRule="auto"/>
              <w:jc w:val="center"/>
              <w:rPr>
                <w:rFonts w:hint="default"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整体、连续</w:t>
            </w:r>
          </w:p>
        </w:tc>
      </w:tr>
      <w:tr w14:paraId="5B63D5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355" w:type="dxa"/>
            <w:noWrap w:val="0"/>
            <w:vAlign w:val="center"/>
          </w:tcPr>
          <w:p w14:paraId="14E58B07">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其它市政公用工程</w:t>
            </w:r>
          </w:p>
        </w:tc>
        <w:tc>
          <w:tcPr>
            <w:tcW w:w="2033" w:type="dxa"/>
            <w:noWrap w:val="0"/>
            <w:vAlign w:val="center"/>
          </w:tcPr>
          <w:p w14:paraId="43DFABDD">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投资  亿元</w:t>
            </w:r>
          </w:p>
        </w:tc>
        <w:tc>
          <w:tcPr>
            <w:tcW w:w="2312" w:type="dxa"/>
            <w:noWrap w:val="0"/>
            <w:vAlign w:val="center"/>
          </w:tcPr>
          <w:p w14:paraId="1672E8C5">
            <w:pPr>
              <w:spacing w:line="240" w:lineRule="auto"/>
              <w:jc w:val="center"/>
              <w:rPr>
                <w:rFonts w:hint="default"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0.5</w:t>
            </w:r>
          </w:p>
        </w:tc>
        <w:tc>
          <w:tcPr>
            <w:tcW w:w="2208" w:type="dxa"/>
            <w:noWrap w:val="0"/>
            <w:vAlign w:val="center"/>
          </w:tcPr>
          <w:p w14:paraId="2A3192F6">
            <w:pPr>
              <w:spacing w:line="240" w:lineRule="auto"/>
              <w:jc w:val="center"/>
              <w:rPr>
                <w:rFonts w:hint="eastAsia" w:ascii="仿宋_GB2312" w:hAnsi="Calibri" w:eastAsia="仿宋_GB2312" w:cs="Times New Roman"/>
                <w:b w:val="0"/>
                <w:bCs w:val="0"/>
                <w:color w:val="auto"/>
                <w:kern w:val="44"/>
                <w:sz w:val="24"/>
                <w:szCs w:val="24"/>
                <w:lang w:val="en-US" w:eastAsia="zh-CN" w:bidi="ar"/>
              </w:rPr>
            </w:pPr>
          </w:p>
        </w:tc>
      </w:tr>
    </w:tbl>
    <w:p w14:paraId="59ED2999">
      <w:pPr>
        <w:bidi w:val="0"/>
        <w:jc w:val="left"/>
        <w:rPr>
          <w:rFonts w:hint="default" w:ascii="仿宋_GB2312" w:hAnsi="Times New Roman" w:eastAsia="仿宋_GB2312" w:cs="Times New Roman"/>
          <w:b/>
          <w:bCs/>
          <w:sz w:val="30"/>
          <w:szCs w:val="30"/>
          <w:lang w:val="en-US" w:eastAsia="zh-CN"/>
        </w:rPr>
      </w:pPr>
      <w:r>
        <w:rPr>
          <w:rFonts w:hint="eastAsia" w:ascii="仿宋_GB2312" w:eastAsia="仿宋_GB2312" w:cs="Times New Roman"/>
          <w:b/>
          <w:bCs/>
          <w:sz w:val="30"/>
          <w:szCs w:val="30"/>
          <w:lang w:val="en-US" w:eastAsia="zh-CN"/>
        </w:rPr>
        <w:t>六、</w:t>
      </w:r>
      <w:r>
        <w:rPr>
          <w:rFonts w:hint="eastAsia" w:ascii="仿宋_GB2312" w:hAnsi="Times New Roman" w:eastAsia="仿宋_GB2312" w:cs="Times New Roman"/>
          <w:b/>
          <w:bCs/>
          <w:sz w:val="30"/>
          <w:szCs w:val="30"/>
          <w:lang w:val="en-US" w:eastAsia="zh-CN"/>
        </w:rPr>
        <w:t>装饰装修工程</w:t>
      </w:r>
      <w:r>
        <w:rPr>
          <w:rFonts w:hint="eastAsia" w:ascii="仿宋_GB2312" w:eastAsia="仿宋_GB2312" w:cs="Times New Roman"/>
          <w:b/>
          <w:bCs/>
          <w:kern w:val="2"/>
          <w:sz w:val="24"/>
          <w:szCs w:val="24"/>
          <w:lang w:val="en-US" w:eastAsia="zh-CN" w:bidi="ar-SA"/>
        </w:rPr>
        <w:t xml:space="preserve">  </w:t>
      </w:r>
    </w:p>
    <w:tbl>
      <w:tblPr>
        <w:tblStyle w:val="13"/>
        <w:tblW w:w="89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355"/>
        <w:gridCol w:w="2045"/>
        <w:gridCol w:w="2300"/>
        <w:gridCol w:w="2219"/>
      </w:tblGrid>
      <w:tr w14:paraId="329B9C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355" w:type="dxa"/>
            <w:noWrap w:val="0"/>
            <w:vAlign w:val="center"/>
          </w:tcPr>
          <w:p w14:paraId="25DB4841">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eastAsia="仿宋_GB2312"/>
                <w:b/>
                <w:bCs/>
                <w:sz w:val="24"/>
                <w:szCs w:val="24"/>
              </w:rPr>
              <w:t>行业项目</w:t>
            </w:r>
          </w:p>
        </w:tc>
        <w:tc>
          <w:tcPr>
            <w:tcW w:w="2045" w:type="dxa"/>
            <w:noWrap w:val="0"/>
            <w:vAlign w:val="center"/>
          </w:tcPr>
          <w:p w14:paraId="1751BF9D">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eastAsia="仿宋_GB2312"/>
                <w:b/>
                <w:bCs/>
                <w:sz w:val="24"/>
                <w:szCs w:val="24"/>
              </w:rPr>
              <w:t>计量单位</w:t>
            </w:r>
          </w:p>
        </w:tc>
        <w:tc>
          <w:tcPr>
            <w:tcW w:w="2300" w:type="dxa"/>
            <w:noWrap w:val="0"/>
            <w:vAlign w:val="center"/>
          </w:tcPr>
          <w:p w14:paraId="1298EE89">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eastAsia="仿宋_GB2312"/>
                <w:b/>
                <w:bCs/>
                <w:sz w:val="24"/>
                <w:szCs w:val="24"/>
              </w:rPr>
              <w:t>规模（及以上）</w:t>
            </w:r>
          </w:p>
        </w:tc>
        <w:tc>
          <w:tcPr>
            <w:tcW w:w="2219" w:type="dxa"/>
            <w:noWrap w:val="0"/>
            <w:vAlign w:val="center"/>
          </w:tcPr>
          <w:p w14:paraId="0279DFDA">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eastAsia="仿宋_GB2312"/>
                <w:b/>
                <w:bCs/>
                <w:sz w:val="24"/>
                <w:szCs w:val="24"/>
              </w:rPr>
              <w:t>备注</w:t>
            </w:r>
          </w:p>
        </w:tc>
      </w:tr>
      <w:tr w14:paraId="2200D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355" w:type="dxa"/>
            <w:noWrap w:val="0"/>
            <w:vAlign w:val="center"/>
          </w:tcPr>
          <w:p w14:paraId="246D26CA">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公共建筑、住宅</w:t>
            </w:r>
          </w:p>
        </w:tc>
        <w:tc>
          <w:tcPr>
            <w:tcW w:w="2045" w:type="dxa"/>
            <w:noWrap w:val="0"/>
            <w:vAlign w:val="center"/>
          </w:tcPr>
          <w:p w14:paraId="6F3F4A3D">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建筑面积 平方米</w:t>
            </w:r>
          </w:p>
        </w:tc>
        <w:tc>
          <w:tcPr>
            <w:tcW w:w="2300" w:type="dxa"/>
            <w:noWrap w:val="0"/>
            <w:vAlign w:val="center"/>
          </w:tcPr>
          <w:p w14:paraId="6FCCAFE2">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2000</w:t>
            </w:r>
          </w:p>
        </w:tc>
        <w:tc>
          <w:tcPr>
            <w:tcW w:w="2219" w:type="dxa"/>
            <w:noWrap w:val="0"/>
            <w:vAlign w:val="center"/>
          </w:tcPr>
          <w:p w14:paraId="636BE2DF">
            <w:pPr>
              <w:spacing w:line="240" w:lineRule="auto"/>
              <w:jc w:val="center"/>
              <w:rPr>
                <w:rFonts w:hint="eastAsia" w:ascii="仿宋_GB2312" w:hAnsi="Calibri" w:eastAsia="仿宋_GB2312" w:cs="Times New Roman"/>
                <w:b w:val="0"/>
                <w:bCs w:val="0"/>
                <w:color w:val="auto"/>
                <w:kern w:val="44"/>
                <w:sz w:val="24"/>
                <w:szCs w:val="24"/>
                <w:lang w:val="en-US" w:eastAsia="zh-CN" w:bidi="ar"/>
              </w:rPr>
            </w:pPr>
          </w:p>
        </w:tc>
      </w:tr>
      <w:tr w14:paraId="279787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355" w:type="dxa"/>
            <w:noWrap w:val="0"/>
            <w:vAlign w:val="center"/>
          </w:tcPr>
          <w:p w14:paraId="15625F6B">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古建筑、保护性建筑</w:t>
            </w:r>
          </w:p>
        </w:tc>
        <w:tc>
          <w:tcPr>
            <w:tcW w:w="2045" w:type="dxa"/>
            <w:noWrap w:val="0"/>
            <w:vAlign w:val="center"/>
          </w:tcPr>
          <w:p w14:paraId="191E255B">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建筑面积 平方米</w:t>
            </w:r>
          </w:p>
        </w:tc>
        <w:tc>
          <w:tcPr>
            <w:tcW w:w="2300" w:type="dxa"/>
            <w:noWrap w:val="0"/>
            <w:vAlign w:val="center"/>
          </w:tcPr>
          <w:p w14:paraId="19627267">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1000</w:t>
            </w:r>
          </w:p>
        </w:tc>
        <w:tc>
          <w:tcPr>
            <w:tcW w:w="2219" w:type="dxa"/>
            <w:noWrap w:val="0"/>
            <w:vAlign w:val="center"/>
          </w:tcPr>
          <w:p w14:paraId="3F9E8AF7">
            <w:pPr>
              <w:spacing w:line="240" w:lineRule="auto"/>
              <w:jc w:val="center"/>
              <w:rPr>
                <w:rFonts w:hint="eastAsia" w:ascii="仿宋_GB2312" w:hAnsi="Calibri" w:eastAsia="仿宋_GB2312" w:cs="Times New Roman"/>
                <w:b w:val="0"/>
                <w:bCs w:val="0"/>
                <w:color w:val="auto"/>
                <w:kern w:val="44"/>
                <w:sz w:val="24"/>
                <w:szCs w:val="24"/>
                <w:lang w:val="en-US" w:eastAsia="zh-CN" w:bidi="ar"/>
              </w:rPr>
            </w:pPr>
          </w:p>
        </w:tc>
      </w:tr>
      <w:tr w14:paraId="206D10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2355" w:type="dxa"/>
            <w:noWrap w:val="0"/>
            <w:vAlign w:val="center"/>
          </w:tcPr>
          <w:p w14:paraId="7435BD78">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其他装饰装修工程</w:t>
            </w:r>
          </w:p>
        </w:tc>
        <w:tc>
          <w:tcPr>
            <w:tcW w:w="2045" w:type="dxa"/>
            <w:noWrap w:val="0"/>
            <w:vAlign w:val="center"/>
          </w:tcPr>
          <w:p w14:paraId="2AD4D5B9">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万元</w:t>
            </w:r>
          </w:p>
        </w:tc>
        <w:tc>
          <w:tcPr>
            <w:tcW w:w="2300" w:type="dxa"/>
            <w:noWrap w:val="0"/>
            <w:vAlign w:val="center"/>
          </w:tcPr>
          <w:p w14:paraId="7C5AE49D">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1000</w:t>
            </w:r>
          </w:p>
        </w:tc>
        <w:tc>
          <w:tcPr>
            <w:tcW w:w="2219" w:type="dxa"/>
            <w:noWrap w:val="0"/>
            <w:vAlign w:val="center"/>
          </w:tcPr>
          <w:p w14:paraId="707FC524">
            <w:pPr>
              <w:spacing w:line="240" w:lineRule="auto"/>
              <w:jc w:val="center"/>
              <w:rPr>
                <w:rFonts w:hint="eastAsia" w:ascii="仿宋_GB2312" w:hAnsi="Calibri" w:eastAsia="仿宋_GB2312" w:cs="Times New Roman"/>
                <w:b w:val="0"/>
                <w:bCs w:val="0"/>
                <w:color w:val="auto"/>
                <w:kern w:val="44"/>
                <w:sz w:val="24"/>
                <w:szCs w:val="24"/>
                <w:lang w:val="en-US" w:eastAsia="zh-CN" w:bidi="ar"/>
              </w:rPr>
            </w:pPr>
          </w:p>
        </w:tc>
      </w:tr>
    </w:tbl>
    <w:p w14:paraId="6AC58197">
      <w:pPr>
        <w:numPr>
          <w:ilvl w:val="0"/>
          <w:numId w:val="0"/>
        </w:numPr>
        <w:adjustRightInd w:val="0"/>
        <w:snapToGrid w:val="0"/>
        <w:spacing w:line="600" w:lineRule="exact"/>
        <w:ind w:leftChars="0"/>
        <w:rPr>
          <w:rFonts w:hint="eastAsia"/>
          <w:lang w:val="en-US" w:eastAsia="zh-CN"/>
        </w:rPr>
      </w:pPr>
      <w:r>
        <w:rPr>
          <w:rFonts w:hint="eastAsia" w:ascii="仿宋_GB2312" w:eastAsia="仿宋_GB2312" w:cs="Times New Roman"/>
          <w:b/>
          <w:bCs/>
          <w:sz w:val="30"/>
          <w:szCs w:val="30"/>
          <w:lang w:val="en-US" w:eastAsia="zh-CN"/>
        </w:rPr>
        <w:t>七、</w:t>
      </w:r>
      <w:r>
        <w:rPr>
          <w:rFonts w:hint="eastAsia" w:ascii="仿宋_GB2312" w:hAnsi="Times New Roman" w:eastAsia="仿宋_GB2312" w:cs="Times New Roman"/>
          <w:b/>
          <w:bCs/>
          <w:sz w:val="30"/>
          <w:szCs w:val="30"/>
          <w:lang w:val="en-US" w:eastAsia="zh-CN"/>
        </w:rPr>
        <w:t>绿色生态工程</w:t>
      </w:r>
    </w:p>
    <w:p w14:paraId="16549C4D">
      <w:pPr>
        <w:bidi w:val="0"/>
        <w:jc w:val="left"/>
        <w:rPr>
          <w:rFonts w:hint="default" w:ascii="仿宋_GB2312" w:hAnsi="Times New Roman" w:eastAsia="仿宋_GB2312" w:cs="Times New Roman"/>
          <w:b/>
          <w:bCs/>
          <w:kern w:val="2"/>
          <w:sz w:val="24"/>
          <w:szCs w:val="24"/>
          <w:lang w:val="en-US" w:eastAsia="zh-CN" w:bidi="ar-SA"/>
        </w:rPr>
      </w:pPr>
      <w:r>
        <w:rPr>
          <w:rFonts w:hint="eastAsia" w:ascii="仿宋_GB2312" w:hAnsi="Times New Roman" w:eastAsia="仿宋_GB2312" w:cs="Times New Roman"/>
          <w:b/>
          <w:bCs/>
          <w:kern w:val="2"/>
          <w:sz w:val="24"/>
          <w:szCs w:val="24"/>
          <w:lang w:val="en-US" w:eastAsia="zh-CN" w:bidi="ar-SA"/>
        </w:rPr>
        <w:t>1.保护与修复</w:t>
      </w:r>
    </w:p>
    <w:tbl>
      <w:tblPr>
        <w:tblStyle w:val="13"/>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11"/>
        <w:gridCol w:w="2268"/>
        <w:gridCol w:w="1844"/>
        <w:gridCol w:w="1796"/>
      </w:tblGrid>
      <w:tr w14:paraId="48449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7" w:hRule="atLeast"/>
        </w:trPr>
        <w:tc>
          <w:tcPr>
            <w:tcW w:w="3011" w:type="dxa"/>
            <w:tcBorders>
              <w:left w:val="single" w:color="000000" w:sz="4" w:space="0"/>
            </w:tcBorders>
            <w:noWrap w:val="0"/>
            <w:vAlign w:val="center"/>
          </w:tcPr>
          <w:p w14:paraId="1A60D8B6">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eastAsia="仿宋_GB2312"/>
                <w:b/>
                <w:bCs/>
                <w:sz w:val="24"/>
                <w:szCs w:val="24"/>
              </w:rPr>
              <w:t>行业项目</w:t>
            </w:r>
          </w:p>
        </w:tc>
        <w:tc>
          <w:tcPr>
            <w:tcW w:w="2268" w:type="dxa"/>
            <w:noWrap w:val="0"/>
            <w:vAlign w:val="center"/>
          </w:tcPr>
          <w:p w14:paraId="50ABA7CE">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eastAsia="仿宋_GB2312"/>
                <w:b/>
                <w:bCs/>
                <w:sz w:val="24"/>
                <w:szCs w:val="24"/>
              </w:rPr>
              <w:t>计量单位</w:t>
            </w:r>
          </w:p>
        </w:tc>
        <w:tc>
          <w:tcPr>
            <w:tcW w:w="1844" w:type="dxa"/>
            <w:noWrap w:val="0"/>
            <w:vAlign w:val="center"/>
          </w:tcPr>
          <w:p w14:paraId="67772EC7">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eastAsia="仿宋_GB2312"/>
                <w:b/>
                <w:bCs/>
                <w:sz w:val="24"/>
                <w:szCs w:val="24"/>
              </w:rPr>
              <w:t>规模（及以上）</w:t>
            </w:r>
          </w:p>
        </w:tc>
        <w:tc>
          <w:tcPr>
            <w:tcW w:w="1796" w:type="dxa"/>
            <w:tcBorders>
              <w:right w:val="single" w:color="000000" w:sz="4" w:space="0"/>
            </w:tcBorders>
            <w:noWrap w:val="0"/>
            <w:vAlign w:val="center"/>
          </w:tcPr>
          <w:p w14:paraId="7BD44753">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eastAsia="仿宋_GB2312"/>
                <w:b/>
                <w:bCs/>
                <w:sz w:val="24"/>
                <w:szCs w:val="24"/>
              </w:rPr>
              <w:t>备注</w:t>
            </w:r>
          </w:p>
        </w:tc>
      </w:tr>
      <w:tr w14:paraId="68FCC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7" w:hRule="atLeast"/>
        </w:trPr>
        <w:tc>
          <w:tcPr>
            <w:tcW w:w="3011" w:type="dxa"/>
            <w:tcBorders>
              <w:left w:val="single" w:color="000000" w:sz="4" w:space="0"/>
            </w:tcBorders>
            <w:noWrap w:val="0"/>
            <w:vAlign w:val="center"/>
          </w:tcPr>
          <w:p w14:paraId="27DDFC68">
            <w:pPr>
              <w:spacing w:line="240" w:lineRule="auto"/>
              <w:jc w:val="center"/>
              <w:rPr>
                <w:rFonts w:hint="eastAsia" w:ascii="仿宋_GB2312" w:hAnsi="Calibri" w:eastAsia="仿宋_GB2312" w:cs="Times New Roman"/>
                <w:b w:val="0"/>
                <w:bCs w:val="0"/>
                <w:color w:val="auto"/>
                <w:kern w:val="44"/>
                <w:sz w:val="24"/>
                <w:szCs w:val="24"/>
                <w:lang w:val="en-US" w:eastAsia="zh-CN" w:bidi="ar"/>
              </w:rPr>
            </w:pPr>
          </w:p>
          <w:p w14:paraId="1A3842EE">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自然保护地（含国家公园、自然保护区、自然公园等）</w:t>
            </w:r>
          </w:p>
        </w:tc>
        <w:tc>
          <w:tcPr>
            <w:tcW w:w="2268" w:type="dxa"/>
            <w:noWrap w:val="0"/>
            <w:vAlign w:val="center"/>
          </w:tcPr>
          <w:p w14:paraId="10BB5D30">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面积   公顷</w:t>
            </w:r>
          </w:p>
        </w:tc>
        <w:tc>
          <w:tcPr>
            <w:tcW w:w="1844" w:type="dxa"/>
            <w:noWrap w:val="0"/>
            <w:vAlign w:val="center"/>
          </w:tcPr>
          <w:p w14:paraId="3ECB557B">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国家公园10000 以上自然保护区</w:t>
            </w:r>
          </w:p>
          <w:p w14:paraId="1835D273">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1000以上自然公园100以上</w:t>
            </w:r>
          </w:p>
        </w:tc>
        <w:tc>
          <w:tcPr>
            <w:tcW w:w="1796" w:type="dxa"/>
            <w:tcBorders>
              <w:right w:val="single" w:color="000000" w:sz="4" w:space="0"/>
            </w:tcBorders>
            <w:noWrap w:val="0"/>
            <w:vAlign w:val="center"/>
          </w:tcPr>
          <w:p w14:paraId="4D812291">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自然保护地</w:t>
            </w:r>
          </w:p>
          <w:p w14:paraId="6F7B5FD9">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（含国家公园、自然保护区、自然公园等）</w:t>
            </w:r>
          </w:p>
        </w:tc>
      </w:tr>
      <w:tr w14:paraId="075D76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011" w:type="dxa"/>
            <w:tcBorders>
              <w:left w:val="single" w:color="000000" w:sz="4" w:space="0"/>
            </w:tcBorders>
            <w:noWrap w:val="0"/>
            <w:vAlign w:val="center"/>
          </w:tcPr>
          <w:p w14:paraId="5E0A3D94">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森林（草原）修复</w:t>
            </w:r>
          </w:p>
        </w:tc>
        <w:tc>
          <w:tcPr>
            <w:tcW w:w="2268" w:type="dxa"/>
            <w:noWrap w:val="0"/>
            <w:vAlign w:val="center"/>
          </w:tcPr>
          <w:p w14:paraId="3378D785">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面积   公顷</w:t>
            </w:r>
          </w:p>
        </w:tc>
        <w:tc>
          <w:tcPr>
            <w:tcW w:w="1844" w:type="dxa"/>
            <w:noWrap w:val="0"/>
            <w:vAlign w:val="center"/>
          </w:tcPr>
          <w:p w14:paraId="0083899E">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1000 以上</w:t>
            </w:r>
          </w:p>
        </w:tc>
        <w:tc>
          <w:tcPr>
            <w:tcW w:w="1796" w:type="dxa"/>
            <w:tcBorders>
              <w:right w:val="single" w:color="000000" w:sz="4" w:space="0"/>
            </w:tcBorders>
            <w:noWrap w:val="0"/>
            <w:vAlign w:val="center"/>
          </w:tcPr>
          <w:p w14:paraId="4ED88BDD">
            <w:pPr>
              <w:spacing w:line="240" w:lineRule="auto"/>
              <w:jc w:val="center"/>
              <w:rPr>
                <w:rFonts w:hint="eastAsia" w:ascii="仿宋_GB2312" w:hAnsi="Calibri" w:eastAsia="仿宋_GB2312" w:cs="Times New Roman"/>
                <w:b w:val="0"/>
                <w:bCs w:val="0"/>
                <w:color w:val="auto"/>
                <w:kern w:val="44"/>
                <w:sz w:val="24"/>
                <w:szCs w:val="24"/>
                <w:lang w:val="en-US" w:eastAsia="zh-CN" w:bidi="ar"/>
              </w:rPr>
            </w:pPr>
          </w:p>
        </w:tc>
      </w:tr>
      <w:tr w14:paraId="51221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011" w:type="dxa"/>
            <w:tcBorders>
              <w:left w:val="single" w:color="000000" w:sz="4" w:space="0"/>
            </w:tcBorders>
            <w:noWrap w:val="0"/>
            <w:vAlign w:val="center"/>
          </w:tcPr>
          <w:p w14:paraId="216E7D87">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湿地修复</w:t>
            </w:r>
          </w:p>
        </w:tc>
        <w:tc>
          <w:tcPr>
            <w:tcW w:w="2268" w:type="dxa"/>
            <w:noWrap w:val="0"/>
            <w:vAlign w:val="center"/>
          </w:tcPr>
          <w:p w14:paraId="3E271992">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面积   公顷</w:t>
            </w:r>
          </w:p>
        </w:tc>
        <w:tc>
          <w:tcPr>
            <w:tcW w:w="1844" w:type="dxa"/>
            <w:noWrap w:val="0"/>
            <w:vAlign w:val="center"/>
          </w:tcPr>
          <w:p w14:paraId="24690021">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200 以上</w:t>
            </w:r>
          </w:p>
        </w:tc>
        <w:tc>
          <w:tcPr>
            <w:tcW w:w="1796" w:type="dxa"/>
            <w:tcBorders>
              <w:right w:val="single" w:color="000000" w:sz="4" w:space="0"/>
            </w:tcBorders>
            <w:noWrap w:val="0"/>
            <w:vAlign w:val="center"/>
          </w:tcPr>
          <w:p w14:paraId="382ED197">
            <w:pPr>
              <w:spacing w:line="240" w:lineRule="auto"/>
              <w:jc w:val="center"/>
              <w:rPr>
                <w:rFonts w:hint="eastAsia" w:ascii="仿宋_GB2312" w:hAnsi="Calibri" w:eastAsia="仿宋_GB2312" w:cs="Times New Roman"/>
                <w:b w:val="0"/>
                <w:bCs w:val="0"/>
                <w:color w:val="auto"/>
                <w:kern w:val="44"/>
                <w:sz w:val="24"/>
                <w:szCs w:val="24"/>
                <w:lang w:val="en-US" w:eastAsia="zh-CN" w:bidi="ar"/>
              </w:rPr>
            </w:pPr>
          </w:p>
        </w:tc>
      </w:tr>
      <w:tr w14:paraId="6DEB2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011" w:type="dxa"/>
            <w:tcBorders>
              <w:left w:val="single" w:color="000000" w:sz="4" w:space="0"/>
            </w:tcBorders>
            <w:noWrap w:val="0"/>
            <w:vAlign w:val="center"/>
          </w:tcPr>
          <w:p w14:paraId="7FEFB9D1">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荒漠化防治</w:t>
            </w:r>
          </w:p>
        </w:tc>
        <w:tc>
          <w:tcPr>
            <w:tcW w:w="2268" w:type="dxa"/>
            <w:noWrap w:val="0"/>
            <w:vAlign w:val="center"/>
          </w:tcPr>
          <w:p w14:paraId="60FD58B7">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面积   公顷</w:t>
            </w:r>
          </w:p>
        </w:tc>
        <w:tc>
          <w:tcPr>
            <w:tcW w:w="1844" w:type="dxa"/>
            <w:noWrap w:val="0"/>
            <w:vAlign w:val="center"/>
          </w:tcPr>
          <w:p w14:paraId="334055D3">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5000 以上</w:t>
            </w:r>
          </w:p>
        </w:tc>
        <w:tc>
          <w:tcPr>
            <w:tcW w:w="1796" w:type="dxa"/>
            <w:tcBorders>
              <w:right w:val="single" w:color="000000" w:sz="4" w:space="0"/>
            </w:tcBorders>
            <w:noWrap w:val="0"/>
            <w:vAlign w:val="center"/>
          </w:tcPr>
          <w:p w14:paraId="44EAB6E6">
            <w:pPr>
              <w:spacing w:line="240" w:lineRule="auto"/>
              <w:jc w:val="center"/>
              <w:rPr>
                <w:rFonts w:hint="eastAsia" w:ascii="仿宋_GB2312" w:hAnsi="Calibri" w:eastAsia="仿宋_GB2312" w:cs="Times New Roman"/>
                <w:b w:val="0"/>
                <w:bCs w:val="0"/>
                <w:color w:val="auto"/>
                <w:kern w:val="44"/>
                <w:sz w:val="24"/>
                <w:szCs w:val="24"/>
                <w:lang w:val="en-US" w:eastAsia="zh-CN" w:bidi="ar"/>
              </w:rPr>
            </w:pPr>
          </w:p>
        </w:tc>
      </w:tr>
      <w:tr w14:paraId="737E03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011" w:type="dxa"/>
            <w:tcBorders>
              <w:left w:val="single" w:color="000000" w:sz="4" w:space="0"/>
            </w:tcBorders>
            <w:noWrap w:val="0"/>
            <w:vAlign w:val="center"/>
          </w:tcPr>
          <w:p w14:paraId="3D1D864A">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石漠化治理</w:t>
            </w:r>
          </w:p>
        </w:tc>
        <w:tc>
          <w:tcPr>
            <w:tcW w:w="2268" w:type="dxa"/>
            <w:noWrap w:val="0"/>
            <w:vAlign w:val="center"/>
          </w:tcPr>
          <w:p w14:paraId="7D1EE726">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面积</w:t>
            </w:r>
            <w:r>
              <w:rPr>
                <w:rFonts w:hint="eastAsia" w:ascii="仿宋_GB2312" w:hAnsi="Calibri" w:eastAsia="仿宋_GB2312" w:cs="Times New Roman"/>
                <w:b w:val="0"/>
                <w:bCs w:val="0"/>
                <w:color w:val="auto"/>
                <w:kern w:val="44"/>
                <w:sz w:val="24"/>
                <w:szCs w:val="24"/>
                <w:lang w:val="en-US" w:eastAsia="zh-CN" w:bidi="ar"/>
              </w:rPr>
              <w:tab/>
            </w:r>
            <w:r>
              <w:rPr>
                <w:rFonts w:hint="eastAsia" w:ascii="仿宋_GB2312" w:hAnsi="Calibri" w:eastAsia="仿宋_GB2312" w:cs="Times New Roman"/>
                <w:b w:val="0"/>
                <w:bCs w:val="0"/>
                <w:color w:val="auto"/>
                <w:kern w:val="44"/>
                <w:sz w:val="24"/>
                <w:szCs w:val="24"/>
                <w:lang w:val="en-US" w:eastAsia="zh-CN" w:bidi="ar"/>
              </w:rPr>
              <w:t>公顷</w:t>
            </w:r>
          </w:p>
        </w:tc>
        <w:tc>
          <w:tcPr>
            <w:tcW w:w="1844" w:type="dxa"/>
            <w:noWrap w:val="0"/>
            <w:vAlign w:val="center"/>
          </w:tcPr>
          <w:p w14:paraId="1A2AFD24">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200 以上</w:t>
            </w:r>
          </w:p>
        </w:tc>
        <w:tc>
          <w:tcPr>
            <w:tcW w:w="1796" w:type="dxa"/>
            <w:tcBorders>
              <w:right w:val="single" w:color="000000" w:sz="4" w:space="0"/>
            </w:tcBorders>
            <w:noWrap w:val="0"/>
            <w:vAlign w:val="center"/>
          </w:tcPr>
          <w:p w14:paraId="72CA91F3">
            <w:pPr>
              <w:spacing w:line="240" w:lineRule="auto"/>
              <w:jc w:val="center"/>
              <w:rPr>
                <w:rFonts w:hint="eastAsia" w:ascii="仿宋_GB2312" w:hAnsi="Calibri" w:eastAsia="仿宋_GB2312" w:cs="Times New Roman"/>
                <w:b w:val="0"/>
                <w:bCs w:val="0"/>
                <w:color w:val="auto"/>
                <w:kern w:val="44"/>
                <w:sz w:val="24"/>
                <w:szCs w:val="24"/>
                <w:lang w:val="en-US" w:eastAsia="zh-CN" w:bidi="ar"/>
              </w:rPr>
            </w:pPr>
          </w:p>
        </w:tc>
      </w:tr>
    </w:tbl>
    <w:p w14:paraId="14F9D052">
      <w:pPr>
        <w:numPr>
          <w:ilvl w:val="0"/>
          <w:numId w:val="2"/>
        </w:numPr>
        <w:bidi w:val="0"/>
        <w:jc w:val="left"/>
        <w:rPr>
          <w:rFonts w:hint="default" w:ascii="仿宋_GB2312" w:hAnsi="Times New Roman" w:eastAsia="仿宋_GB2312" w:cs="Times New Roman"/>
          <w:b/>
          <w:bCs/>
          <w:kern w:val="2"/>
          <w:sz w:val="24"/>
          <w:szCs w:val="24"/>
          <w:lang w:val="en-US" w:eastAsia="zh-CN" w:bidi="ar-SA"/>
        </w:rPr>
      </w:pPr>
      <w:r>
        <w:rPr>
          <w:rFonts w:hint="eastAsia" w:ascii="仿宋_GB2312" w:hAnsi="Times New Roman" w:eastAsia="仿宋_GB2312" w:cs="Times New Roman"/>
          <w:b/>
          <w:bCs/>
          <w:kern w:val="2"/>
          <w:sz w:val="24"/>
          <w:szCs w:val="24"/>
          <w:lang w:val="en-US" w:eastAsia="zh-CN" w:bidi="ar-SA"/>
        </w:rPr>
        <w:t>综合工程</w:t>
      </w:r>
    </w:p>
    <w:tbl>
      <w:tblPr>
        <w:tblStyle w:val="13"/>
        <w:tblW w:w="8915" w:type="dxa"/>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011"/>
        <w:gridCol w:w="2264"/>
        <w:gridCol w:w="1844"/>
        <w:gridCol w:w="1796"/>
      </w:tblGrid>
      <w:tr w14:paraId="1A8150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011" w:type="dxa"/>
            <w:tcBorders>
              <w:left w:val="single" w:color="000000" w:sz="4" w:space="0"/>
            </w:tcBorders>
            <w:noWrap w:val="0"/>
            <w:vAlign w:val="center"/>
          </w:tcPr>
          <w:p w14:paraId="16A6255A">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eastAsia="仿宋_GB2312"/>
                <w:b/>
                <w:bCs/>
                <w:sz w:val="24"/>
                <w:szCs w:val="24"/>
              </w:rPr>
              <w:t>行业项目</w:t>
            </w:r>
          </w:p>
        </w:tc>
        <w:tc>
          <w:tcPr>
            <w:tcW w:w="2264" w:type="dxa"/>
            <w:noWrap w:val="0"/>
            <w:vAlign w:val="center"/>
          </w:tcPr>
          <w:p w14:paraId="6AB861D8">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eastAsia="仿宋_GB2312"/>
                <w:b/>
                <w:bCs/>
                <w:sz w:val="24"/>
                <w:szCs w:val="24"/>
              </w:rPr>
              <w:t>计量单位</w:t>
            </w:r>
          </w:p>
        </w:tc>
        <w:tc>
          <w:tcPr>
            <w:tcW w:w="1844" w:type="dxa"/>
            <w:noWrap w:val="0"/>
            <w:vAlign w:val="center"/>
          </w:tcPr>
          <w:p w14:paraId="16F323F8">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eastAsia="仿宋_GB2312"/>
                <w:b/>
                <w:bCs/>
                <w:sz w:val="24"/>
                <w:szCs w:val="24"/>
              </w:rPr>
              <w:t>规模（及以上）</w:t>
            </w:r>
          </w:p>
        </w:tc>
        <w:tc>
          <w:tcPr>
            <w:tcW w:w="1796" w:type="dxa"/>
            <w:tcBorders>
              <w:right w:val="single" w:color="000000" w:sz="4" w:space="0"/>
            </w:tcBorders>
            <w:noWrap w:val="0"/>
            <w:vAlign w:val="center"/>
          </w:tcPr>
          <w:p w14:paraId="24A5C23C">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eastAsia="仿宋_GB2312"/>
                <w:b/>
                <w:bCs/>
                <w:sz w:val="24"/>
                <w:szCs w:val="24"/>
              </w:rPr>
              <w:t>备注</w:t>
            </w:r>
          </w:p>
        </w:tc>
      </w:tr>
      <w:tr w14:paraId="4BD72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011" w:type="dxa"/>
            <w:tcBorders>
              <w:left w:val="single" w:color="000000" w:sz="4" w:space="0"/>
            </w:tcBorders>
            <w:noWrap w:val="0"/>
            <w:vAlign w:val="center"/>
          </w:tcPr>
          <w:p w14:paraId="34E79FE4">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造林工程</w:t>
            </w:r>
          </w:p>
        </w:tc>
        <w:tc>
          <w:tcPr>
            <w:tcW w:w="2264" w:type="dxa"/>
            <w:noWrap w:val="0"/>
            <w:vAlign w:val="center"/>
          </w:tcPr>
          <w:p w14:paraId="736F35B9">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面积</w:t>
            </w:r>
            <w:r>
              <w:rPr>
                <w:rFonts w:hint="eastAsia" w:ascii="仿宋_GB2312" w:hAnsi="Calibri" w:eastAsia="仿宋_GB2312" w:cs="Times New Roman"/>
                <w:b w:val="0"/>
                <w:bCs w:val="0"/>
                <w:color w:val="auto"/>
                <w:kern w:val="44"/>
                <w:sz w:val="24"/>
                <w:szCs w:val="24"/>
                <w:lang w:val="en-US" w:eastAsia="zh-CN" w:bidi="ar"/>
              </w:rPr>
              <w:tab/>
            </w:r>
            <w:r>
              <w:rPr>
                <w:rFonts w:hint="eastAsia" w:ascii="仿宋_GB2312" w:hAnsi="Calibri" w:eastAsia="仿宋_GB2312" w:cs="Times New Roman"/>
                <w:b w:val="0"/>
                <w:bCs w:val="0"/>
                <w:color w:val="auto"/>
                <w:kern w:val="44"/>
                <w:sz w:val="24"/>
                <w:szCs w:val="24"/>
                <w:lang w:val="en-US" w:eastAsia="zh-CN" w:bidi="ar"/>
              </w:rPr>
              <w:t>公顷</w:t>
            </w:r>
          </w:p>
        </w:tc>
        <w:tc>
          <w:tcPr>
            <w:tcW w:w="1844" w:type="dxa"/>
            <w:noWrap w:val="0"/>
            <w:vAlign w:val="center"/>
          </w:tcPr>
          <w:p w14:paraId="763E156D">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200 以上</w:t>
            </w:r>
          </w:p>
        </w:tc>
        <w:tc>
          <w:tcPr>
            <w:tcW w:w="1796" w:type="dxa"/>
            <w:tcBorders>
              <w:right w:val="single" w:color="000000" w:sz="4" w:space="0"/>
            </w:tcBorders>
            <w:noWrap w:val="0"/>
            <w:vAlign w:val="center"/>
          </w:tcPr>
          <w:p w14:paraId="63C6F8D3">
            <w:pPr>
              <w:spacing w:line="240" w:lineRule="auto"/>
              <w:jc w:val="center"/>
              <w:rPr>
                <w:rFonts w:hint="eastAsia" w:ascii="仿宋_GB2312" w:hAnsi="Calibri" w:eastAsia="仿宋_GB2312" w:cs="Times New Roman"/>
                <w:b w:val="0"/>
                <w:bCs w:val="0"/>
                <w:color w:val="auto"/>
                <w:kern w:val="44"/>
                <w:sz w:val="24"/>
                <w:szCs w:val="24"/>
                <w:lang w:val="en-US" w:eastAsia="zh-CN" w:bidi="ar"/>
              </w:rPr>
            </w:pPr>
          </w:p>
        </w:tc>
      </w:tr>
      <w:tr w14:paraId="2C5C4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011" w:type="dxa"/>
            <w:tcBorders>
              <w:left w:val="single" w:color="000000" w:sz="4" w:space="0"/>
            </w:tcBorders>
            <w:noWrap w:val="0"/>
            <w:vAlign w:val="center"/>
          </w:tcPr>
          <w:p w14:paraId="6C5DFCBA">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国家森林步道</w:t>
            </w:r>
          </w:p>
        </w:tc>
        <w:tc>
          <w:tcPr>
            <w:tcW w:w="2264" w:type="dxa"/>
            <w:noWrap w:val="0"/>
            <w:vAlign w:val="center"/>
          </w:tcPr>
          <w:p w14:paraId="24BD6453">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长度</w:t>
            </w:r>
            <w:r>
              <w:rPr>
                <w:rFonts w:hint="eastAsia" w:ascii="仿宋_GB2312" w:hAnsi="Calibri" w:eastAsia="仿宋_GB2312" w:cs="Times New Roman"/>
                <w:b w:val="0"/>
                <w:bCs w:val="0"/>
                <w:color w:val="auto"/>
                <w:kern w:val="44"/>
                <w:sz w:val="24"/>
                <w:szCs w:val="24"/>
                <w:lang w:val="en-US" w:eastAsia="zh-CN" w:bidi="ar"/>
              </w:rPr>
              <w:tab/>
            </w:r>
            <w:r>
              <w:rPr>
                <w:rFonts w:hint="eastAsia" w:ascii="仿宋_GB2312" w:hAnsi="Calibri" w:eastAsia="仿宋_GB2312" w:cs="Times New Roman"/>
                <w:b w:val="0"/>
                <w:bCs w:val="0"/>
                <w:color w:val="auto"/>
                <w:kern w:val="44"/>
                <w:sz w:val="24"/>
                <w:szCs w:val="24"/>
                <w:lang w:val="en-US" w:eastAsia="zh-CN" w:bidi="ar"/>
              </w:rPr>
              <w:t>公里</w:t>
            </w:r>
          </w:p>
        </w:tc>
        <w:tc>
          <w:tcPr>
            <w:tcW w:w="1844" w:type="dxa"/>
            <w:noWrap w:val="0"/>
            <w:vAlign w:val="center"/>
          </w:tcPr>
          <w:p w14:paraId="0AA81DA0">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10 以上</w:t>
            </w:r>
          </w:p>
        </w:tc>
        <w:tc>
          <w:tcPr>
            <w:tcW w:w="1796" w:type="dxa"/>
            <w:tcBorders>
              <w:right w:val="single" w:color="000000" w:sz="4" w:space="0"/>
            </w:tcBorders>
            <w:noWrap w:val="0"/>
            <w:vAlign w:val="center"/>
          </w:tcPr>
          <w:p w14:paraId="2A89AD0B">
            <w:pPr>
              <w:spacing w:line="240" w:lineRule="auto"/>
              <w:jc w:val="center"/>
              <w:rPr>
                <w:rFonts w:hint="eastAsia" w:ascii="仿宋_GB2312" w:hAnsi="Calibri" w:eastAsia="仿宋_GB2312" w:cs="Times New Roman"/>
                <w:b w:val="0"/>
                <w:bCs w:val="0"/>
                <w:color w:val="auto"/>
                <w:kern w:val="44"/>
                <w:sz w:val="24"/>
                <w:szCs w:val="24"/>
                <w:lang w:val="en-US" w:eastAsia="zh-CN" w:bidi="ar"/>
              </w:rPr>
            </w:pPr>
          </w:p>
        </w:tc>
      </w:tr>
      <w:tr w14:paraId="44D731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011" w:type="dxa"/>
            <w:tcBorders>
              <w:left w:val="single" w:color="000000" w:sz="4" w:space="0"/>
            </w:tcBorders>
            <w:noWrap w:val="0"/>
            <w:vAlign w:val="center"/>
          </w:tcPr>
          <w:p w14:paraId="445EF55E">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生态旅游综合体</w:t>
            </w:r>
          </w:p>
        </w:tc>
        <w:tc>
          <w:tcPr>
            <w:tcW w:w="2264" w:type="dxa"/>
            <w:noWrap w:val="0"/>
            <w:vAlign w:val="center"/>
          </w:tcPr>
          <w:p w14:paraId="3417FFE8">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投资</w:t>
            </w:r>
            <w:r>
              <w:rPr>
                <w:rFonts w:hint="eastAsia" w:ascii="仿宋_GB2312" w:hAnsi="Calibri" w:eastAsia="仿宋_GB2312" w:cs="Times New Roman"/>
                <w:b w:val="0"/>
                <w:bCs w:val="0"/>
                <w:color w:val="auto"/>
                <w:kern w:val="44"/>
                <w:sz w:val="24"/>
                <w:szCs w:val="24"/>
                <w:lang w:val="en-US" w:eastAsia="zh-CN" w:bidi="ar"/>
              </w:rPr>
              <w:tab/>
            </w:r>
            <w:r>
              <w:rPr>
                <w:rFonts w:hint="eastAsia" w:ascii="仿宋_GB2312" w:hAnsi="Calibri" w:eastAsia="仿宋_GB2312" w:cs="Times New Roman"/>
                <w:b w:val="0"/>
                <w:bCs w:val="0"/>
                <w:color w:val="auto"/>
                <w:kern w:val="44"/>
                <w:sz w:val="24"/>
                <w:szCs w:val="24"/>
                <w:lang w:val="en-US" w:eastAsia="zh-CN" w:bidi="ar"/>
              </w:rPr>
              <w:t>亿元</w:t>
            </w:r>
          </w:p>
        </w:tc>
        <w:tc>
          <w:tcPr>
            <w:tcW w:w="1844" w:type="dxa"/>
            <w:noWrap w:val="0"/>
            <w:vAlign w:val="center"/>
          </w:tcPr>
          <w:p w14:paraId="167F85BF">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1 以上</w:t>
            </w:r>
          </w:p>
        </w:tc>
        <w:tc>
          <w:tcPr>
            <w:tcW w:w="1796" w:type="dxa"/>
            <w:tcBorders>
              <w:right w:val="single" w:color="000000" w:sz="4" w:space="0"/>
            </w:tcBorders>
            <w:noWrap w:val="0"/>
            <w:vAlign w:val="center"/>
          </w:tcPr>
          <w:p w14:paraId="7D64AD17">
            <w:pPr>
              <w:spacing w:line="240" w:lineRule="auto"/>
              <w:jc w:val="center"/>
              <w:rPr>
                <w:rFonts w:hint="eastAsia" w:ascii="仿宋_GB2312" w:hAnsi="Calibri" w:eastAsia="仿宋_GB2312" w:cs="Times New Roman"/>
                <w:b w:val="0"/>
                <w:bCs w:val="0"/>
                <w:color w:val="auto"/>
                <w:kern w:val="44"/>
                <w:sz w:val="24"/>
                <w:szCs w:val="24"/>
                <w:lang w:val="en-US" w:eastAsia="zh-CN" w:bidi="ar"/>
              </w:rPr>
            </w:pPr>
          </w:p>
        </w:tc>
      </w:tr>
      <w:tr w14:paraId="2EC57E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3011" w:type="dxa"/>
            <w:tcBorders>
              <w:left w:val="single" w:color="000000" w:sz="4" w:space="0"/>
            </w:tcBorders>
            <w:noWrap w:val="0"/>
            <w:vAlign w:val="center"/>
          </w:tcPr>
          <w:p w14:paraId="3A9CDC7C">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其他工程</w:t>
            </w:r>
          </w:p>
        </w:tc>
        <w:tc>
          <w:tcPr>
            <w:tcW w:w="2264" w:type="dxa"/>
            <w:noWrap w:val="0"/>
            <w:vAlign w:val="center"/>
          </w:tcPr>
          <w:p w14:paraId="5C5B0649">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投资</w:t>
            </w:r>
            <w:r>
              <w:rPr>
                <w:rFonts w:hint="eastAsia" w:ascii="仿宋_GB2312" w:hAnsi="Calibri" w:eastAsia="仿宋_GB2312" w:cs="Times New Roman"/>
                <w:b w:val="0"/>
                <w:bCs w:val="0"/>
                <w:color w:val="auto"/>
                <w:kern w:val="44"/>
                <w:sz w:val="24"/>
                <w:szCs w:val="24"/>
                <w:lang w:val="en-US" w:eastAsia="zh-CN" w:bidi="ar"/>
              </w:rPr>
              <w:tab/>
            </w:r>
            <w:r>
              <w:rPr>
                <w:rFonts w:hint="eastAsia" w:ascii="仿宋_GB2312" w:hAnsi="Calibri" w:eastAsia="仿宋_GB2312" w:cs="Times New Roman"/>
                <w:b w:val="0"/>
                <w:bCs w:val="0"/>
                <w:color w:val="auto"/>
                <w:kern w:val="44"/>
                <w:sz w:val="24"/>
                <w:szCs w:val="24"/>
                <w:lang w:val="en-US" w:eastAsia="zh-CN" w:bidi="ar"/>
              </w:rPr>
              <w:t>亿元</w:t>
            </w:r>
          </w:p>
        </w:tc>
        <w:tc>
          <w:tcPr>
            <w:tcW w:w="1844" w:type="dxa"/>
            <w:noWrap w:val="0"/>
            <w:vAlign w:val="center"/>
          </w:tcPr>
          <w:p w14:paraId="2D870CC2">
            <w:pPr>
              <w:spacing w:line="240" w:lineRule="auto"/>
              <w:jc w:val="center"/>
              <w:rPr>
                <w:rFonts w:hint="eastAsia" w:ascii="仿宋_GB2312" w:hAnsi="Calibri" w:eastAsia="仿宋_GB2312" w:cs="Times New Roman"/>
                <w:b w:val="0"/>
                <w:bCs w:val="0"/>
                <w:color w:val="auto"/>
                <w:kern w:val="44"/>
                <w:sz w:val="24"/>
                <w:szCs w:val="24"/>
                <w:lang w:val="en-US" w:eastAsia="zh-CN" w:bidi="ar"/>
              </w:rPr>
            </w:pPr>
            <w:r>
              <w:rPr>
                <w:rFonts w:hint="eastAsia" w:ascii="仿宋_GB2312" w:hAnsi="Calibri" w:eastAsia="仿宋_GB2312" w:cs="Times New Roman"/>
                <w:b w:val="0"/>
                <w:bCs w:val="0"/>
                <w:color w:val="auto"/>
                <w:kern w:val="44"/>
                <w:sz w:val="24"/>
                <w:szCs w:val="24"/>
                <w:lang w:val="en-US" w:eastAsia="zh-CN" w:bidi="ar"/>
              </w:rPr>
              <w:t>1以上</w:t>
            </w:r>
          </w:p>
        </w:tc>
        <w:tc>
          <w:tcPr>
            <w:tcW w:w="1796" w:type="dxa"/>
            <w:tcBorders>
              <w:right w:val="single" w:color="000000" w:sz="4" w:space="0"/>
            </w:tcBorders>
            <w:noWrap w:val="0"/>
            <w:vAlign w:val="center"/>
          </w:tcPr>
          <w:p w14:paraId="13CCC78E">
            <w:pPr>
              <w:spacing w:line="240" w:lineRule="auto"/>
              <w:jc w:val="center"/>
              <w:rPr>
                <w:rFonts w:hint="eastAsia" w:ascii="仿宋_GB2312" w:hAnsi="Calibri" w:eastAsia="仿宋_GB2312" w:cs="Times New Roman"/>
                <w:b w:val="0"/>
                <w:bCs w:val="0"/>
                <w:color w:val="auto"/>
                <w:kern w:val="44"/>
                <w:sz w:val="24"/>
                <w:szCs w:val="24"/>
                <w:lang w:val="en-US" w:eastAsia="zh-CN" w:bidi="ar"/>
              </w:rPr>
            </w:pPr>
          </w:p>
        </w:tc>
      </w:tr>
    </w:tbl>
    <w:p w14:paraId="111FF884">
      <w:pPr>
        <w:jc w:val="left"/>
        <w:rPr>
          <w:rFonts w:hint="eastAsia" w:ascii="黑体" w:hAnsi="黑体" w:eastAsia="黑体" w:cs="黑体"/>
          <w:bCs/>
          <w:sz w:val="21"/>
          <w:szCs w:val="21"/>
        </w:rPr>
      </w:pPr>
    </w:p>
    <w:p w14:paraId="302E0152">
      <w:pPr>
        <w:jc w:val="center"/>
        <w:rPr>
          <w:rFonts w:hint="eastAsia" w:ascii="方正公文小标宋" w:hAnsi="方正公文小标宋" w:eastAsia="方正公文小标宋" w:cs="方正公文小标宋"/>
          <w:b w:val="0"/>
          <w:bCs/>
          <w:sz w:val="44"/>
          <w:szCs w:val="44"/>
          <w:lang w:val="en-US" w:eastAsia="zh-CN"/>
        </w:rPr>
      </w:pPr>
      <w:r>
        <w:rPr>
          <w:rFonts w:hint="eastAsia" w:ascii="黑体" w:hAnsi="黑体" w:eastAsia="黑体" w:cs="黑体"/>
          <w:bCs/>
          <w:sz w:val="32"/>
          <w:szCs w:val="32"/>
        </w:rPr>
        <w:br w:type="page"/>
      </w:r>
    </w:p>
    <w:p w14:paraId="73AD7A87">
      <w:pPr>
        <w:jc w:val="left"/>
        <w:rPr>
          <w:rFonts w:hint="eastAsia" w:ascii="黑体" w:hAnsi="黑体" w:eastAsia="黑体" w:cs="黑体"/>
          <w:bCs/>
          <w:sz w:val="32"/>
          <w:szCs w:val="32"/>
        </w:rPr>
      </w:pPr>
      <w:r>
        <w:rPr>
          <w:rFonts w:hint="eastAsia" w:ascii="黑体" w:hAnsi="黑体" w:eastAsia="黑体" w:cs="黑体"/>
          <w:bCs/>
          <w:sz w:val="32"/>
          <w:szCs w:val="32"/>
        </w:rPr>
        <w:t>附录2</w:t>
      </w:r>
    </w:p>
    <w:p w14:paraId="475606A3">
      <w:pPr>
        <w:jc w:val="center"/>
        <w:rPr>
          <w:rFonts w:hint="eastAsia" w:ascii="宋体" w:hAnsi="宋体"/>
          <w:b/>
          <w:sz w:val="40"/>
          <w:szCs w:val="40"/>
        </w:rPr>
      </w:pPr>
    </w:p>
    <w:p w14:paraId="7D839C04">
      <w:pPr>
        <w:jc w:val="center"/>
        <w:rPr>
          <w:rFonts w:hint="eastAsia" w:ascii="微软雅黑" w:hAnsi="微软雅黑" w:eastAsia="微软雅黑" w:cs="微软雅黑"/>
          <w:b w:val="0"/>
          <w:bCs/>
          <w:sz w:val="44"/>
          <w:szCs w:val="44"/>
        </w:rPr>
      </w:pPr>
      <w:r>
        <w:rPr>
          <w:rFonts w:hint="eastAsia" w:ascii="微软雅黑" w:hAnsi="微软雅黑" w:eastAsia="微软雅黑" w:cs="微软雅黑"/>
          <w:b w:val="0"/>
          <w:bCs/>
          <w:sz w:val="44"/>
          <w:szCs w:val="44"/>
          <w:lang w:val="en-US" w:eastAsia="zh-CN"/>
        </w:rPr>
        <w:t>黑龙江</w:t>
      </w:r>
      <w:r>
        <w:rPr>
          <w:rFonts w:hint="eastAsia" w:ascii="微软雅黑" w:hAnsi="微软雅黑" w:eastAsia="微软雅黑" w:cs="微软雅黑"/>
          <w:b w:val="0"/>
          <w:bCs/>
          <w:sz w:val="44"/>
          <w:szCs w:val="44"/>
          <w:lang w:eastAsia="zh-CN"/>
        </w:rPr>
        <w:t>省优质工程</w:t>
      </w:r>
      <w:r>
        <w:rPr>
          <w:rFonts w:hint="eastAsia" w:ascii="微软雅黑" w:hAnsi="微软雅黑" w:eastAsia="微软雅黑" w:cs="微软雅黑"/>
          <w:b w:val="0"/>
          <w:bCs/>
          <w:sz w:val="44"/>
          <w:szCs w:val="44"/>
          <w:lang w:val="en-US" w:eastAsia="zh-CN"/>
        </w:rPr>
        <w:t>（龙江杯）</w:t>
      </w:r>
      <w:r>
        <w:rPr>
          <w:rFonts w:hint="eastAsia" w:ascii="微软雅黑" w:hAnsi="微软雅黑" w:eastAsia="微软雅黑" w:cs="微软雅黑"/>
          <w:b w:val="0"/>
          <w:bCs/>
          <w:sz w:val="44"/>
          <w:szCs w:val="44"/>
        </w:rPr>
        <w:t>评分规定</w:t>
      </w:r>
    </w:p>
    <w:p w14:paraId="6342C3D6">
      <w:pPr>
        <w:jc w:val="center"/>
        <w:rPr>
          <w:rFonts w:hint="eastAsia" w:ascii="宋体" w:hAnsi="宋体"/>
          <w:b/>
          <w:sz w:val="40"/>
          <w:szCs w:val="40"/>
        </w:rPr>
      </w:pPr>
    </w:p>
    <w:p w14:paraId="42212EAD">
      <w:pPr>
        <w:numPr>
          <w:ilvl w:val="0"/>
          <w:numId w:val="3"/>
        </w:numPr>
        <w:rPr>
          <w:rFonts w:hint="eastAsia" w:ascii="仿宋_GB2312" w:eastAsia="仿宋_GB2312"/>
          <w:sz w:val="32"/>
          <w:szCs w:val="32"/>
        </w:rPr>
      </w:pPr>
      <w:r>
        <w:rPr>
          <w:rFonts w:hint="eastAsia" w:ascii="仿宋_GB2312" w:eastAsia="仿宋_GB2312"/>
          <w:sz w:val="32"/>
          <w:szCs w:val="32"/>
        </w:rPr>
        <w:t>评分权重值</w:t>
      </w:r>
    </w:p>
    <w:p w14:paraId="4C5F4648">
      <w:pPr>
        <w:rPr>
          <w:rFonts w:hint="eastAsia" w:ascii="仿宋_GB2312" w:eastAsia="仿宋_GB2312"/>
          <w:sz w:val="32"/>
          <w:szCs w:val="32"/>
        </w:rPr>
      </w:pPr>
    </w:p>
    <w:p w14:paraId="6AC598C0">
      <w:pPr>
        <w:rPr>
          <w:rFonts w:hint="eastAsia" w:ascii="仿宋_GB2312" w:eastAsia="仿宋_GB2312"/>
          <w:sz w:val="32"/>
          <w:szCs w:val="32"/>
        </w:rPr>
      </w:pPr>
      <w:r>
        <w:rPr>
          <w:rFonts w:hint="eastAsia" w:ascii="仿宋_GB2312" w:eastAsia="仿宋_GB2312"/>
          <w:sz w:val="32"/>
          <w:szCs w:val="32"/>
        </w:rPr>
        <w:t>表-1  权重值分配表</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37"/>
        <w:gridCol w:w="4085"/>
      </w:tblGrid>
      <w:tr w14:paraId="2AF985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37" w:type="dxa"/>
            <w:noWrap w:val="0"/>
            <w:vAlign w:val="center"/>
          </w:tcPr>
          <w:p w14:paraId="3689A909">
            <w:pPr>
              <w:jc w:val="center"/>
              <w:rPr>
                <w:rFonts w:hint="eastAsia" w:ascii="仿宋_GB2312" w:eastAsia="仿宋_GB2312"/>
                <w:sz w:val="28"/>
                <w:szCs w:val="28"/>
              </w:rPr>
            </w:pPr>
            <w:r>
              <w:rPr>
                <w:rFonts w:hint="eastAsia" w:ascii="仿宋_GB2312" w:eastAsia="仿宋_GB2312"/>
                <w:sz w:val="28"/>
                <w:szCs w:val="28"/>
              </w:rPr>
              <w:t>评价项目名称</w:t>
            </w:r>
          </w:p>
        </w:tc>
        <w:tc>
          <w:tcPr>
            <w:tcW w:w="4085" w:type="dxa"/>
            <w:noWrap w:val="0"/>
            <w:vAlign w:val="center"/>
          </w:tcPr>
          <w:p w14:paraId="233BC065">
            <w:pPr>
              <w:jc w:val="center"/>
              <w:rPr>
                <w:rFonts w:hint="eastAsia" w:ascii="仿宋_GB2312" w:eastAsia="仿宋_GB2312"/>
                <w:sz w:val="28"/>
                <w:szCs w:val="28"/>
              </w:rPr>
            </w:pPr>
            <w:r>
              <w:rPr>
                <w:rFonts w:hint="eastAsia" w:ascii="仿宋_GB2312" w:eastAsia="仿宋_GB2312"/>
                <w:sz w:val="28"/>
                <w:szCs w:val="28"/>
              </w:rPr>
              <w:t>权重值</w:t>
            </w:r>
          </w:p>
        </w:tc>
      </w:tr>
      <w:tr w14:paraId="39F27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5" w:hRule="atLeast"/>
        </w:trPr>
        <w:tc>
          <w:tcPr>
            <w:tcW w:w="4437" w:type="dxa"/>
            <w:noWrap w:val="0"/>
            <w:vAlign w:val="center"/>
          </w:tcPr>
          <w:p w14:paraId="33391BB4">
            <w:pPr>
              <w:jc w:val="center"/>
              <w:rPr>
                <w:rFonts w:ascii="仿宋_GB2312" w:eastAsia="仿宋_GB2312"/>
                <w:sz w:val="28"/>
                <w:szCs w:val="28"/>
              </w:rPr>
            </w:pPr>
            <w:r>
              <w:rPr>
                <w:rFonts w:hint="eastAsia" w:ascii="仿宋_GB2312" w:eastAsia="仿宋_GB2312"/>
                <w:sz w:val="28"/>
                <w:szCs w:val="28"/>
              </w:rPr>
              <w:t>工程实体质量与工程档案资料</w:t>
            </w:r>
          </w:p>
        </w:tc>
        <w:tc>
          <w:tcPr>
            <w:tcW w:w="4085" w:type="dxa"/>
            <w:noWrap w:val="0"/>
            <w:vAlign w:val="center"/>
          </w:tcPr>
          <w:p w14:paraId="6754E9C5">
            <w:pPr>
              <w:jc w:val="center"/>
              <w:rPr>
                <w:rFonts w:ascii="仿宋_GB2312" w:eastAsia="仿宋_GB2312"/>
                <w:sz w:val="28"/>
                <w:szCs w:val="28"/>
              </w:rPr>
            </w:pPr>
            <w:r>
              <w:rPr>
                <w:rFonts w:hint="eastAsia" w:ascii="仿宋_GB2312" w:eastAsia="仿宋_GB2312"/>
                <w:sz w:val="28"/>
                <w:szCs w:val="28"/>
              </w:rPr>
              <w:t>90</w:t>
            </w:r>
          </w:p>
        </w:tc>
      </w:tr>
      <w:tr w14:paraId="7DAF7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37" w:type="dxa"/>
            <w:noWrap w:val="0"/>
            <w:vAlign w:val="center"/>
          </w:tcPr>
          <w:p w14:paraId="0A32EA14">
            <w:pPr>
              <w:jc w:val="center"/>
              <w:rPr>
                <w:rFonts w:ascii="仿宋_GB2312" w:eastAsia="仿宋_GB2312"/>
                <w:sz w:val="28"/>
                <w:szCs w:val="28"/>
              </w:rPr>
            </w:pPr>
            <w:r>
              <w:rPr>
                <w:rFonts w:hint="eastAsia" w:ascii="仿宋_GB2312" w:eastAsia="仿宋_GB2312"/>
                <w:sz w:val="28"/>
                <w:szCs w:val="28"/>
              </w:rPr>
              <w:t>工程质量安全管理与科技创新</w:t>
            </w:r>
          </w:p>
        </w:tc>
        <w:tc>
          <w:tcPr>
            <w:tcW w:w="4085" w:type="dxa"/>
            <w:noWrap w:val="0"/>
            <w:vAlign w:val="center"/>
          </w:tcPr>
          <w:p w14:paraId="26E9F165">
            <w:pPr>
              <w:jc w:val="center"/>
              <w:rPr>
                <w:rFonts w:ascii="仿宋_GB2312" w:eastAsia="仿宋_GB2312"/>
                <w:sz w:val="28"/>
                <w:szCs w:val="28"/>
              </w:rPr>
            </w:pPr>
            <w:r>
              <w:rPr>
                <w:rFonts w:hint="eastAsia" w:ascii="仿宋_GB2312" w:eastAsia="仿宋_GB2312"/>
                <w:sz w:val="28"/>
                <w:szCs w:val="28"/>
              </w:rPr>
              <w:t>10</w:t>
            </w:r>
          </w:p>
        </w:tc>
      </w:tr>
      <w:tr w14:paraId="5B0EA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37" w:type="dxa"/>
            <w:noWrap w:val="0"/>
            <w:vAlign w:val="center"/>
          </w:tcPr>
          <w:p w14:paraId="5BD83744">
            <w:pPr>
              <w:jc w:val="center"/>
              <w:rPr>
                <w:rFonts w:hint="eastAsia" w:ascii="仿宋_GB2312" w:eastAsia="仿宋_GB2312"/>
                <w:sz w:val="28"/>
                <w:szCs w:val="28"/>
              </w:rPr>
            </w:pPr>
            <w:r>
              <w:rPr>
                <w:rFonts w:hint="eastAsia" w:ascii="仿宋_GB2312" w:eastAsia="仿宋_GB2312"/>
                <w:sz w:val="28"/>
                <w:szCs w:val="28"/>
              </w:rPr>
              <w:t>合计</w:t>
            </w:r>
          </w:p>
        </w:tc>
        <w:tc>
          <w:tcPr>
            <w:tcW w:w="4085" w:type="dxa"/>
            <w:noWrap w:val="0"/>
            <w:vAlign w:val="center"/>
          </w:tcPr>
          <w:p w14:paraId="511A130E">
            <w:pPr>
              <w:jc w:val="center"/>
              <w:rPr>
                <w:rFonts w:hint="eastAsia" w:ascii="仿宋_GB2312" w:eastAsia="仿宋_GB2312"/>
                <w:sz w:val="28"/>
                <w:szCs w:val="28"/>
              </w:rPr>
            </w:pPr>
            <w:r>
              <w:rPr>
                <w:rFonts w:hint="eastAsia" w:ascii="仿宋_GB2312" w:eastAsia="仿宋_GB2312"/>
                <w:sz w:val="28"/>
                <w:szCs w:val="28"/>
              </w:rPr>
              <w:t>100</w:t>
            </w:r>
          </w:p>
        </w:tc>
      </w:tr>
    </w:tbl>
    <w:p w14:paraId="053AC5DB">
      <w:pPr>
        <w:rPr>
          <w:rFonts w:hint="eastAsia" w:ascii="宋体" w:hAnsi="宋体"/>
          <w:sz w:val="28"/>
          <w:szCs w:val="28"/>
        </w:rPr>
      </w:pPr>
    </w:p>
    <w:p w14:paraId="00F5CE47">
      <w:pPr>
        <w:ind w:firstLine="640" w:firstLineChars="200"/>
        <w:rPr>
          <w:rFonts w:hint="eastAsia" w:ascii="仿宋_GB2312" w:eastAsia="仿宋_GB2312"/>
          <w:sz w:val="32"/>
          <w:szCs w:val="32"/>
        </w:rPr>
      </w:pPr>
      <w:r>
        <w:rPr>
          <w:rFonts w:hint="eastAsia" w:ascii="仿宋_GB2312" w:eastAsia="仿宋_GB2312"/>
          <w:sz w:val="32"/>
          <w:szCs w:val="32"/>
          <w:lang w:val="en-US" w:eastAsia="zh-CN"/>
        </w:rPr>
        <w:t>二、</w:t>
      </w:r>
      <w:r>
        <w:rPr>
          <w:rFonts w:hint="eastAsia" w:ascii="仿宋_GB2312" w:eastAsia="仿宋_GB2312"/>
          <w:sz w:val="32"/>
          <w:szCs w:val="32"/>
        </w:rPr>
        <w:t>工程实体质量与工程档案资料权重值为90，具体按照工程类别划分内部权重</w:t>
      </w:r>
      <w:r>
        <w:rPr>
          <w:rFonts w:hint="eastAsia" w:ascii="仿宋_GB2312" w:eastAsia="仿宋_GB2312"/>
          <w:sz w:val="32"/>
          <w:szCs w:val="32"/>
          <w:lang w:eastAsia="zh-CN"/>
        </w:rPr>
        <w:t>，</w:t>
      </w:r>
      <w:r>
        <w:rPr>
          <w:rFonts w:hint="eastAsia" w:ascii="仿宋_GB2312" w:eastAsia="仿宋_GB2312"/>
          <w:sz w:val="32"/>
          <w:szCs w:val="32"/>
        </w:rPr>
        <w:t>并且工程实体质量与工程档案资料不应低于权重值的85%。</w:t>
      </w:r>
    </w:p>
    <w:p w14:paraId="6AACE6B0">
      <w:pPr>
        <w:numPr>
          <w:ilvl w:val="0"/>
          <w:numId w:val="0"/>
        </w:numPr>
        <w:ind w:firstLine="640" w:firstLineChars="200"/>
        <w:rPr>
          <w:rFonts w:hint="eastAsia" w:ascii="仿宋_GB2312" w:eastAsia="仿宋_GB2312"/>
          <w:sz w:val="32"/>
          <w:szCs w:val="32"/>
        </w:rPr>
      </w:pPr>
      <w:r>
        <w:rPr>
          <w:rFonts w:hint="eastAsia" w:ascii="仿宋_GB2312" w:eastAsia="仿宋_GB2312"/>
          <w:sz w:val="32"/>
          <w:szCs w:val="32"/>
          <w:lang w:val="en-US" w:eastAsia="zh-CN"/>
        </w:rPr>
        <w:t>三、</w:t>
      </w:r>
      <w:r>
        <w:rPr>
          <w:rFonts w:hint="eastAsia" w:ascii="仿宋_GB2312" w:eastAsia="仿宋_GB2312"/>
          <w:sz w:val="32"/>
          <w:szCs w:val="32"/>
        </w:rPr>
        <w:t>为鼓励企业争创高质量、高科技精品工程，设工程质量安全管理与科技创新奖加分项目，总计10分</w:t>
      </w:r>
      <w:r>
        <w:rPr>
          <w:rFonts w:hint="eastAsia" w:ascii="仿宋_GB2312" w:eastAsia="仿宋_GB2312"/>
          <w:sz w:val="32"/>
          <w:szCs w:val="32"/>
          <w:lang w:eastAsia="zh-CN"/>
        </w:rPr>
        <w:t>，</w:t>
      </w:r>
      <w:r>
        <w:rPr>
          <w:rFonts w:hint="eastAsia" w:ascii="仿宋_GB2312" w:eastAsia="仿宋_GB2312"/>
          <w:sz w:val="32"/>
          <w:szCs w:val="32"/>
        </w:rPr>
        <w:t>并且工程质量安全管理与科技创新</w:t>
      </w:r>
      <w:r>
        <w:rPr>
          <w:rFonts w:hint="eastAsia" w:ascii="仿宋_GB2312" w:eastAsia="仿宋_GB2312"/>
          <w:sz w:val="32"/>
          <w:szCs w:val="32"/>
          <w:lang w:val="en-US" w:eastAsia="zh-CN"/>
        </w:rPr>
        <w:t>成果不少于八项中的至少两项</w:t>
      </w:r>
      <w:r>
        <w:rPr>
          <w:rFonts w:hint="eastAsia" w:ascii="仿宋_GB2312" w:eastAsia="仿宋_GB2312"/>
          <w:sz w:val="32"/>
          <w:szCs w:val="32"/>
        </w:rPr>
        <w:t>。（</w:t>
      </w:r>
      <w:r>
        <w:rPr>
          <w:rFonts w:hint="eastAsia" w:ascii="仿宋_GB2312" w:eastAsia="仿宋_GB2312"/>
          <w:sz w:val="32"/>
          <w:szCs w:val="32"/>
          <w:lang w:val="en-US" w:eastAsia="zh-CN"/>
        </w:rPr>
        <w:t>详见</w:t>
      </w:r>
      <w:r>
        <w:rPr>
          <w:rFonts w:hint="eastAsia" w:ascii="仿宋_GB2312" w:eastAsia="仿宋_GB2312"/>
          <w:sz w:val="32"/>
          <w:szCs w:val="32"/>
        </w:rPr>
        <w:t>附录3）</w:t>
      </w:r>
    </w:p>
    <w:p w14:paraId="3FF8C700">
      <w:pPr>
        <w:ind w:firstLine="640" w:firstLineChars="200"/>
        <w:rPr>
          <w:rFonts w:hint="eastAsia" w:ascii="仿宋_GB2312" w:eastAsia="仿宋_GB2312"/>
          <w:sz w:val="32"/>
          <w:szCs w:val="32"/>
          <w:lang w:eastAsia="zh-CN"/>
        </w:rPr>
      </w:pPr>
      <w:r>
        <w:rPr>
          <w:rFonts w:hint="eastAsia" w:ascii="仿宋_GB2312" w:eastAsia="仿宋_GB2312"/>
          <w:sz w:val="32"/>
          <w:szCs w:val="32"/>
        </w:rPr>
        <w:t>四、</w:t>
      </w:r>
      <w:r>
        <w:rPr>
          <w:rFonts w:hint="eastAsia" w:ascii="仿宋_GB2312" w:eastAsia="仿宋_GB2312"/>
          <w:sz w:val="32"/>
          <w:szCs w:val="32"/>
          <w:lang w:val="en-US" w:eastAsia="zh-CN"/>
        </w:rPr>
        <w:t>获得</w:t>
      </w:r>
      <w:r>
        <w:rPr>
          <w:rFonts w:hint="eastAsia" w:ascii="仿宋_GB2312" w:hAnsi="Calibri" w:eastAsia="仿宋_GB2312" w:cs="Times New Roman"/>
          <w:b w:val="0"/>
          <w:bCs w:val="0"/>
          <w:color w:val="auto"/>
          <w:sz w:val="32"/>
          <w:szCs w:val="32"/>
          <w:highlight w:val="none"/>
          <w:lang w:val="en-US" w:eastAsia="zh-CN"/>
        </w:rPr>
        <w:t>“龙江杯”评价工程总得分</w:t>
      </w:r>
      <w:r>
        <w:rPr>
          <w:rFonts w:hint="eastAsia" w:ascii="仿宋_GB2312" w:eastAsia="仿宋_GB2312"/>
          <w:sz w:val="32"/>
          <w:szCs w:val="32"/>
        </w:rPr>
        <w:t>应</w:t>
      </w:r>
      <w:r>
        <w:rPr>
          <w:rFonts w:hint="eastAsia" w:ascii="仿宋_GB2312" w:eastAsia="仿宋_GB2312"/>
          <w:sz w:val="32"/>
          <w:szCs w:val="32"/>
          <w:lang w:val="en-US" w:eastAsia="zh-CN"/>
        </w:rPr>
        <w:t>≥</w:t>
      </w:r>
      <w:r>
        <w:rPr>
          <w:rFonts w:hint="eastAsia" w:ascii="仿宋_GB2312" w:eastAsia="仿宋_GB2312"/>
          <w:sz w:val="32"/>
          <w:szCs w:val="32"/>
        </w:rPr>
        <w:t>8</w:t>
      </w:r>
      <w:r>
        <w:rPr>
          <w:rFonts w:hint="eastAsia" w:ascii="仿宋_GB2312" w:eastAsia="仿宋_GB2312"/>
          <w:sz w:val="32"/>
          <w:szCs w:val="32"/>
          <w:lang w:val="en-US" w:eastAsia="zh-CN"/>
        </w:rPr>
        <w:t>0</w:t>
      </w:r>
      <w:r>
        <w:rPr>
          <w:rFonts w:hint="eastAsia" w:ascii="仿宋_GB2312" w:eastAsia="仿宋_GB2312"/>
          <w:sz w:val="32"/>
          <w:szCs w:val="32"/>
        </w:rPr>
        <w:t>分</w:t>
      </w:r>
      <w:r>
        <w:rPr>
          <w:rFonts w:hint="eastAsia" w:ascii="仿宋_GB2312" w:eastAsia="仿宋_GB2312"/>
          <w:sz w:val="32"/>
          <w:szCs w:val="32"/>
          <w:lang w:eastAsia="zh-CN"/>
        </w:rPr>
        <w:t>。</w:t>
      </w:r>
    </w:p>
    <w:p w14:paraId="759156E8">
      <w:pPr>
        <w:rPr>
          <w:rFonts w:hint="eastAsia" w:ascii="仿宋_GB2312" w:eastAsia="仿宋_GB2312"/>
          <w:sz w:val="32"/>
          <w:szCs w:val="32"/>
        </w:rPr>
      </w:pPr>
    </w:p>
    <w:p w14:paraId="16BABCD7">
      <w:pPr>
        <w:rPr>
          <w:rFonts w:hint="eastAsia" w:ascii="黑体" w:hAnsi="黑体" w:eastAsia="黑体" w:cs="黑体"/>
          <w:bCs/>
          <w:sz w:val="32"/>
          <w:szCs w:val="32"/>
        </w:rPr>
      </w:pPr>
      <w:r>
        <w:rPr>
          <w:rFonts w:hint="eastAsia" w:ascii="黑体" w:hAnsi="黑体" w:eastAsia="黑体" w:cs="黑体"/>
          <w:bCs/>
          <w:sz w:val="32"/>
          <w:szCs w:val="32"/>
        </w:rPr>
        <w:br w:type="page"/>
      </w:r>
    </w:p>
    <w:p w14:paraId="60295D37">
      <w:pPr>
        <w:jc w:val="left"/>
        <w:rPr>
          <w:rFonts w:hint="eastAsia" w:ascii="黑体" w:hAnsi="黑体" w:eastAsia="黑体" w:cs="黑体"/>
          <w:b/>
          <w:sz w:val="32"/>
          <w:szCs w:val="32"/>
        </w:rPr>
      </w:pPr>
      <w:r>
        <w:rPr>
          <w:rFonts w:hint="eastAsia" w:ascii="黑体" w:hAnsi="黑体" w:eastAsia="黑体" w:cs="黑体"/>
          <w:bCs/>
          <w:sz w:val="32"/>
          <w:szCs w:val="32"/>
        </w:rPr>
        <w:t>附录3</w:t>
      </w:r>
    </w:p>
    <w:p w14:paraId="34BBB5DA">
      <w:pPr>
        <w:jc w:val="center"/>
        <w:rPr>
          <w:rFonts w:hint="eastAsia" w:ascii="微软雅黑" w:hAnsi="微软雅黑" w:eastAsia="微软雅黑" w:cs="微软雅黑"/>
          <w:b w:val="0"/>
          <w:bCs/>
          <w:color w:val="auto"/>
          <w:sz w:val="44"/>
          <w:szCs w:val="44"/>
        </w:rPr>
      </w:pPr>
      <w:r>
        <w:rPr>
          <w:rFonts w:hint="eastAsia" w:ascii="微软雅黑" w:hAnsi="微软雅黑" w:eastAsia="微软雅黑" w:cs="微软雅黑"/>
          <w:b w:val="0"/>
          <w:bCs/>
          <w:color w:val="auto"/>
          <w:sz w:val="44"/>
          <w:szCs w:val="44"/>
        </w:rPr>
        <w:t>工程质量安全管理与科技创新加分表</w:t>
      </w:r>
    </w:p>
    <w:tbl>
      <w:tblPr>
        <w:tblStyle w:val="13"/>
        <w:tblW w:w="9619" w:type="dxa"/>
        <w:tblInd w:w="-7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97"/>
        <w:gridCol w:w="2519"/>
        <w:gridCol w:w="6203"/>
      </w:tblGrid>
      <w:tr w14:paraId="044CBB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7" w:type="dxa"/>
            <w:noWrap w:val="0"/>
            <w:vAlign w:val="top"/>
          </w:tcPr>
          <w:p w14:paraId="3FF0F43E">
            <w:pPr>
              <w:jc w:val="center"/>
              <w:rPr>
                <w:rFonts w:hint="eastAsia" w:ascii="仿宋_GB2312" w:hAnsi="Calibri" w:eastAsia="仿宋_GB2312" w:cs="Times New Roman"/>
                <w:sz w:val="32"/>
                <w:szCs w:val="32"/>
              </w:rPr>
            </w:pPr>
            <w:r>
              <w:rPr>
                <w:rFonts w:hint="eastAsia" w:ascii="仿宋_GB2312" w:hAnsi="Calibri" w:eastAsia="仿宋_GB2312" w:cs="Times New Roman"/>
                <w:sz w:val="32"/>
                <w:szCs w:val="32"/>
              </w:rPr>
              <w:t>序号</w:t>
            </w:r>
          </w:p>
        </w:tc>
        <w:tc>
          <w:tcPr>
            <w:tcW w:w="2519" w:type="dxa"/>
            <w:noWrap w:val="0"/>
            <w:vAlign w:val="top"/>
          </w:tcPr>
          <w:p w14:paraId="109E1459">
            <w:pPr>
              <w:jc w:val="center"/>
              <w:rPr>
                <w:rFonts w:hint="eastAsia" w:ascii="仿宋_GB2312" w:hAnsi="Calibri" w:eastAsia="仿宋_GB2312" w:cs="Times New Roman"/>
                <w:sz w:val="32"/>
                <w:szCs w:val="32"/>
              </w:rPr>
            </w:pPr>
            <w:r>
              <w:rPr>
                <w:rFonts w:hint="eastAsia" w:ascii="仿宋_GB2312" w:hAnsi="Calibri" w:eastAsia="仿宋_GB2312" w:cs="Times New Roman"/>
                <w:sz w:val="32"/>
                <w:szCs w:val="32"/>
              </w:rPr>
              <w:t>内容</w:t>
            </w:r>
          </w:p>
        </w:tc>
        <w:tc>
          <w:tcPr>
            <w:tcW w:w="6203" w:type="dxa"/>
            <w:noWrap w:val="0"/>
            <w:vAlign w:val="top"/>
          </w:tcPr>
          <w:p w14:paraId="073E7EAA">
            <w:pPr>
              <w:ind w:firstLine="537" w:firstLineChars="168"/>
              <w:jc w:val="center"/>
              <w:rPr>
                <w:rFonts w:hint="default"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评分标准</w:t>
            </w:r>
          </w:p>
        </w:tc>
      </w:tr>
      <w:tr w14:paraId="664EBF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8" w:hRule="atLeast"/>
        </w:trPr>
        <w:tc>
          <w:tcPr>
            <w:tcW w:w="897" w:type="dxa"/>
            <w:noWrap w:val="0"/>
            <w:vAlign w:val="center"/>
          </w:tcPr>
          <w:p w14:paraId="30EEB6F3">
            <w:pPr>
              <w:jc w:val="center"/>
              <w:rPr>
                <w:rFonts w:hint="default"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1</w:t>
            </w:r>
          </w:p>
        </w:tc>
        <w:tc>
          <w:tcPr>
            <w:tcW w:w="2519" w:type="dxa"/>
            <w:noWrap w:val="0"/>
            <w:vAlign w:val="center"/>
          </w:tcPr>
          <w:p w14:paraId="5EF5A5A2">
            <w:pPr>
              <w:rPr>
                <w:rFonts w:hint="eastAsia" w:ascii="仿宋_GB2312" w:hAnsi="Calibri" w:eastAsia="仿宋_GB2312" w:cs="Times New Roman"/>
                <w:sz w:val="32"/>
                <w:szCs w:val="32"/>
              </w:rPr>
            </w:pPr>
            <w:r>
              <w:rPr>
                <w:rFonts w:hint="eastAsia" w:ascii="仿宋_GB2312" w:hAnsi="Calibri" w:eastAsia="仿宋_GB2312" w:cs="Times New Roman"/>
                <w:sz w:val="32"/>
                <w:szCs w:val="32"/>
              </w:rPr>
              <w:t>工法</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lang w:val="en-US" w:eastAsia="zh-CN"/>
              </w:rPr>
              <w:t>3分</w:t>
            </w:r>
            <w:r>
              <w:rPr>
                <w:rFonts w:hint="eastAsia" w:ascii="仿宋_GB2312" w:hAnsi="Calibri" w:eastAsia="仿宋_GB2312" w:cs="Times New Roman"/>
                <w:sz w:val="32"/>
                <w:szCs w:val="32"/>
                <w:lang w:eastAsia="zh-CN"/>
              </w:rPr>
              <w:t>）</w:t>
            </w:r>
          </w:p>
        </w:tc>
        <w:tc>
          <w:tcPr>
            <w:tcW w:w="6203" w:type="dxa"/>
            <w:noWrap w:val="0"/>
            <w:vAlign w:val="center"/>
          </w:tcPr>
          <w:p w14:paraId="2C82EEA9">
            <w:pPr>
              <w:jc w:val="both"/>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每获得一项省级以上工法加1分，最多不超3分；</w:t>
            </w:r>
          </w:p>
        </w:tc>
      </w:tr>
      <w:tr w14:paraId="06D820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42" w:hRule="atLeast"/>
        </w:trPr>
        <w:tc>
          <w:tcPr>
            <w:tcW w:w="897" w:type="dxa"/>
            <w:noWrap w:val="0"/>
            <w:vAlign w:val="center"/>
          </w:tcPr>
          <w:p w14:paraId="334F1B6E">
            <w:pPr>
              <w:jc w:val="center"/>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w:t>
            </w:r>
          </w:p>
        </w:tc>
        <w:tc>
          <w:tcPr>
            <w:tcW w:w="2519" w:type="dxa"/>
            <w:noWrap w:val="0"/>
            <w:vAlign w:val="center"/>
          </w:tcPr>
          <w:p w14:paraId="051B963B">
            <w:pPr>
              <w:jc w:val="both"/>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rPr>
              <w:t>绿色施工</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lang w:val="en-US" w:eastAsia="zh-CN"/>
              </w:rPr>
              <w:t>3分</w:t>
            </w:r>
            <w:r>
              <w:rPr>
                <w:rFonts w:hint="eastAsia" w:ascii="仿宋_GB2312" w:hAnsi="Calibri" w:eastAsia="仿宋_GB2312" w:cs="Times New Roman"/>
                <w:sz w:val="32"/>
                <w:szCs w:val="32"/>
                <w:lang w:eastAsia="zh-CN"/>
              </w:rPr>
              <w:t>）</w:t>
            </w:r>
          </w:p>
        </w:tc>
        <w:tc>
          <w:tcPr>
            <w:tcW w:w="6203" w:type="dxa"/>
            <w:noWrap w:val="0"/>
            <w:vAlign w:val="center"/>
          </w:tcPr>
          <w:p w14:paraId="59992A49">
            <w:pPr>
              <w:jc w:val="both"/>
              <w:rPr>
                <w:rFonts w:hint="default"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国家级绿色建造竞赛活动（3分）；</w:t>
            </w:r>
          </w:p>
          <w:p w14:paraId="690E3BB2">
            <w:pPr>
              <w:jc w:val="both"/>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rPr>
              <w:t>省级绿色施工（样板）工程</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lang w:val="en-US" w:eastAsia="zh-CN"/>
              </w:rPr>
              <w:t>2分</w:t>
            </w:r>
            <w:r>
              <w:rPr>
                <w:rFonts w:hint="eastAsia" w:ascii="仿宋_GB2312" w:hAnsi="Calibri" w:eastAsia="仿宋_GB2312" w:cs="Times New Roman"/>
                <w:sz w:val="32"/>
                <w:szCs w:val="32"/>
                <w:lang w:eastAsia="zh-CN"/>
              </w:rPr>
              <w:t>）；</w:t>
            </w:r>
          </w:p>
          <w:p w14:paraId="05D3493C">
            <w:pPr>
              <w:jc w:val="both"/>
              <w:rPr>
                <w:rFonts w:hint="eastAsia" w:ascii="仿宋_GB2312" w:hAnsi="Calibri" w:eastAsia="仿宋_GB2312" w:cs="Times New Roman"/>
                <w:sz w:val="32"/>
                <w:szCs w:val="32"/>
              </w:rPr>
            </w:pPr>
            <w:r>
              <w:rPr>
                <w:rFonts w:hint="eastAsia" w:ascii="仿宋_GB2312" w:hAnsi="Calibri" w:eastAsia="仿宋_GB2312" w:cs="Times New Roman"/>
                <w:sz w:val="32"/>
                <w:szCs w:val="32"/>
                <w:lang w:val="en-US" w:eastAsia="zh-CN"/>
              </w:rPr>
              <w:t>省级绿色施工工程（1分）；</w:t>
            </w:r>
          </w:p>
        </w:tc>
      </w:tr>
      <w:tr w14:paraId="0A106F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1" w:hRule="atLeast"/>
        </w:trPr>
        <w:tc>
          <w:tcPr>
            <w:tcW w:w="897" w:type="dxa"/>
            <w:noWrap w:val="0"/>
            <w:vAlign w:val="center"/>
          </w:tcPr>
          <w:p w14:paraId="231EC8A6">
            <w:pPr>
              <w:jc w:val="center"/>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3</w:t>
            </w:r>
          </w:p>
        </w:tc>
        <w:tc>
          <w:tcPr>
            <w:tcW w:w="2519" w:type="dxa"/>
            <w:noWrap w:val="0"/>
            <w:vAlign w:val="center"/>
          </w:tcPr>
          <w:p w14:paraId="7F2E0A63">
            <w:pPr>
              <w:jc w:val="both"/>
              <w:rPr>
                <w:rFonts w:hint="default"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质量安全标准化（3分）</w:t>
            </w:r>
          </w:p>
        </w:tc>
        <w:tc>
          <w:tcPr>
            <w:tcW w:w="6203" w:type="dxa"/>
            <w:noWrap w:val="0"/>
            <w:vAlign w:val="center"/>
          </w:tcPr>
          <w:p w14:paraId="3138777B">
            <w:pPr>
              <w:jc w:val="both"/>
              <w:rPr>
                <w:rFonts w:hint="default"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国家级质量标准化竞赛活动（3分）；</w:t>
            </w:r>
          </w:p>
          <w:p w14:paraId="24741B78">
            <w:pPr>
              <w:jc w:val="both"/>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rPr>
              <w:t>省级建设工程项目</w:t>
            </w:r>
            <w:r>
              <w:rPr>
                <w:rFonts w:hint="eastAsia" w:ascii="仿宋_GB2312" w:hAnsi="Calibri" w:eastAsia="仿宋_GB2312" w:cs="Times New Roman"/>
                <w:sz w:val="32"/>
                <w:szCs w:val="32"/>
                <w:lang w:val="en-US" w:eastAsia="zh-CN"/>
              </w:rPr>
              <w:t>质量安全</w:t>
            </w:r>
            <w:r>
              <w:rPr>
                <w:rFonts w:hint="eastAsia" w:ascii="仿宋_GB2312" w:hAnsi="Calibri" w:eastAsia="仿宋_GB2312" w:cs="Times New Roman"/>
                <w:sz w:val="32"/>
                <w:szCs w:val="32"/>
              </w:rPr>
              <w:t>标准化</w:t>
            </w:r>
            <w:r>
              <w:rPr>
                <w:rFonts w:hint="eastAsia" w:ascii="仿宋_GB2312" w:hAnsi="Calibri" w:eastAsia="仿宋_GB2312" w:cs="Times New Roman"/>
                <w:sz w:val="32"/>
                <w:szCs w:val="32"/>
                <w:lang w:val="en-US" w:eastAsia="zh-CN"/>
              </w:rPr>
              <w:t>观摩</w:t>
            </w:r>
            <w:r>
              <w:rPr>
                <w:rFonts w:hint="eastAsia" w:ascii="仿宋_GB2312" w:hAnsi="Calibri" w:eastAsia="仿宋_GB2312" w:cs="Times New Roman"/>
                <w:sz w:val="32"/>
                <w:szCs w:val="32"/>
              </w:rPr>
              <w:t>工地</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lang w:val="en-US" w:eastAsia="zh-CN"/>
              </w:rPr>
              <w:t>2分</w:t>
            </w:r>
            <w:r>
              <w:rPr>
                <w:rFonts w:hint="eastAsia" w:ascii="仿宋_GB2312" w:hAnsi="Calibri" w:eastAsia="仿宋_GB2312" w:cs="Times New Roman"/>
                <w:sz w:val="32"/>
                <w:szCs w:val="32"/>
                <w:lang w:eastAsia="zh-CN"/>
              </w:rPr>
              <w:t>）；</w:t>
            </w:r>
          </w:p>
          <w:p w14:paraId="56C2ACCD">
            <w:pPr>
              <w:jc w:val="both"/>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市（地）</w:t>
            </w:r>
            <w:r>
              <w:rPr>
                <w:rFonts w:hint="eastAsia" w:ascii="仿宋_GB2312" w:hAnsi="Calibri" w:eastAsia="仿宋_GB2312" w:cs="Times New Roman"/>
                <w:sz w:val="32"/>
                <w:szCs w:val="32"/>
              </w:rPr>
              <w:t>级建设工程项目</w:t>
            </w:r>
            <w:r>
              <w:rPr>
                <w:rFonts w:hint="eastAsia" w:ascii="仿宋_GB2312" w:hAnsi="Calibri" w:eastAsia="仿宋_GB2312" w:cs="Times New Roman"/>
                <w:sz w:val="32"/>
                <w:szCs w:val="32"/>
                <w:lang w:val="en-US" w:eastAsia="zh-CN"/>
              </w:rPr>
              <w:t>质量安全</w:t>
            </w:r>
            <w:r>
              <w:rPr>
                <w:rFonts w:hint="eastAsia" w:ascii="仿宋_GB2312" w:hAnsi="Calibri" w:eastAsia="仿宋_GB2312" w:cs="Times New Roman"/>
                <w:sz w:val="32"/>
                <w:szCs w:val="32"/>
              </w:rPr>
              <w:t>标准化</w:t>
            </w:r>
            <w:r>
              <w:rPr>
                <w:rFonts w:hint="eastAsia" w:ascii="仿宋_GB2312" w:hAnsi="Calibri" w:eastAsia="仿宋_GB2312" w:cs="Times New Roman"/>
                <w:sz w:val="32"/>
                <w:szCs w:val="32"/>
                <w:lang w:val="en-US" w:eastAsia="zh-CN"/>
              </w:rPr>
              <w:t>观摩</w:t>
            </w:r>
            <w:r>
              <w:rPr>
                <w:rFonts w:hint="eastAsia" w:ascii="仿宋_GB2312" w:hAnsi="Calibri" w:eastAsia="仿宋_GB2312" w:cs="Times New Roman"/>
                <w:sz w:val="32"/>
                <w:szCs w:val="32"/>
              </w:rPr>
              <w:t>工地</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lang w:val="en-US" w:eastAsia="zh-CN"/>
              </w:rPr>
              <w:t>1分</w:t>
            </w:r>
            <w:r>
              <w:rPr>
                <w:rFonts w:hint="eastAsia" w:ascii="仿宋_GB2312" w:hAnsi="Calibri" w:eastAsia="仿宋_GB2312" w:cs="Times New Roman"/>
                <w:sz w:val="32"/>
                <w:szCs w:val="32"/>
                <w:lang w:eastAsia="zh-CN"/>
              </w:rPr>
              <w:t>）；</w:t>
            </w:r>
          </w:p>
        </w:tc>
      </w:tr>
      <w:tr w14:paraId="015396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2" w:hRule="atLeast"/>
        </w:trPr>
        <w:tc>
          <w:tcPr>
            <w:tcW w:w="897" w:type="dxa"/>
            <w:noWrap w:val="0"/>
            <w:vAlign w:val="center"/>
          </w:tcPr>
          <w:p w14:paraId="221F0D0F">
            <w:pPr>
              <w:jc w:val="center"/>
              <w:rPr>
                <w:rFonts w:hint="default"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4</w:t>
            </w:r>
          </w:p>
        </w:tc>
        <w:tc>
          <w:tcPr>
            <w:tcW w:w="2519" w:type="dxa"/>
            <w:noWrap w:val="0"/>
            <w:vAlign w:val="center"/>
          </w:tcPr>
          <w:p w14:paraId="3FBD39DA">
            <w:pPr>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rPr>
              <w:t>科技奖项</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lang w:val="en-US" w:eastAsia="zh-CN"/>
              </w:rPr>
              <w:t>3分</w:t>
            </w:r>
            <w:r>
              <w:rPr>
                <w:rFonts w:hint="eastAsia" w:ascii="仿宋_GB2312" w:hAnsi="Calibri" w:eastAsia="仿宋_GB2312" w:cs="Times New Roman"/>
                <w:sz w:val="32"/>
                <w:szCs w:val="32"/>
                <w:lang w:eastAsia="zh-CN"/>
              </w:rPr>
              <w:t>）</w:t>
            </w:r>
          </w:p>
        </w:tc>
        <w:tc>
          <w:tcPr>
            <w:tcW w:w="6203" w:type="dxa"/>
            <w:noWrap w:val="0"/>
            <w:vAlign w:val="center"/>
          </w:tcPr>
          <w:p w14:paraId="54A7875E">
            <w:pPr>
              <w:jc w:val="both"/>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rPr>
              <w:t>省（部）级科技奖项</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lang w:val="en-US" w:eastAsia="zh-CN"/>
              </w:rPr>
              <w:t>3分</w:t>
            </w:r>
            <w:r>
              <w:rPr>
                <w:rFonts w:hint="eastAsia" w:ascii="仿宋_GB2312" w:hAnsi="Calibri" w:eastAsia="仿宋_GB2312" w:cs="Times New Roman"/>
                <w:sz w:val="32"/>
                <w:szCs w:val="32"/>
                <w:lang w:eastAsia="zh-CN"/>
              </w:rPr>
              <w:t>）；</w:t>
            </w:r>
          </w:p>
          <w:p w14:paraId="5C55F73C">
            <w:pPr>
              <w:jc w:val="both"/>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发明专利（2分）；</w:t>
            </w:r>
          </w:p>
          <w:p w14:paraId="11E4CF76">
            <w:pPr>
              <w:jc w:val="both"/>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实用新型专利（1分）；</w:t>
            </w:r>
          </w:p>
          <w:p w14:paraId="1CDE60E2">
            <w:pPr>
              <w:jc w:val="both"/>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val="en-US" w:eastAsia="zh-CN"/>
              </w:rPr>
              <w:t>市（地）</w:t>
            </w:r>
            <w:r>
              <w:rPr>
                <w:rFonts w:hint="eastAsia" w:ascii="仿宋_GB2312" w:hAnsi="Calibri" w:eastAsia="仿宋_GB2312" w:cs="Times New Roman"/>
                <w:sz w:val="32"/>
                <w:szCs w:val="32"/>
              </w:rPr>
              <w:t>级科技</w:t>
            </w:r>
            <w:r>
              <w:rPr>
                <w:rFonts w:hint="eastAsia" w:ascii="仿宋_GB2312" w:hAnsi="Calibri" w:eastAsia="仿宋_GB2312" w:cs="Times New Roman"/>
                <w:sz w:val="32"/>
                <w:szCs w:val="32"/>
                <w:lang w:val="en-US" w:eastAsia="zh-CN"/>
              </w:rPr>
              <w:t>奖项</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lang w:val="en-US" w:eastAsia="zh-CN"/>
              </w:rPr>
              <w:t>2分</w:t>
            </w:r>
            <w:r>
              <w:rPr>
                <w:rFonts w:hint="eastAsia" w:ascii="仿宋_GB2312" w:hAnsi="Calibri" w:eastAsia="仿宋_GB2312" w:cs="Times New Roman"/>
                <w:sz w:val="32"/>
                <w:szCs w:val="32"/>
                <w:lang w:eastAsia="zh-CN"/>
              </w:rPr>
              <w:t>）；</w:t>
            </w:r>
          </w:p>
        </w:tc>
      </w:tr>
      <w:tr w14:paraId="65B06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trPr>
        <w:tc>
          <w:tcPr>
            <w:tcW w:w="897" w:type="dxa"/>
            <w:noWrap w:val="0"/>
            <w:vAlign w:val="center"/>
          </w:tcPr>
          <w:p w14:paraId="0CB2FA81">
            <w:pPr>
              <w:jc w:val="center"/>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5</w:t>
            </w:r>
          </w:p>
        </w:tc>
        <w:tc>
          <w:tcPr>
            <w:tcW w:w="2519" w:type="dxa"/>
            <w:noWrap w:val="0"/>
            <w:vAlign w:val="center"/>
          </w:tcPr>
          <w:p w14:paraId="673B6CE8">
            <w:pPr>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新技术（2分）</w:t>
            </w:r>
          </w:p>
        </w:tc>
        <w:tc>
          <w:tcPr>
            <w:tcW w:w="6203" w:type="dxa"/>
            <w:noWrap w:val="0"/>
            <w:vAlign w:val="center"/>
          </w:tcPr>
          <w:p w14:paraId="49F3DDAE">
            <w:pPr>
              <w:jc w:val="both"/>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rPr>
              <w:t>省（部）级建筑业新技术应用示范工程</w:t>
            </w:r>
            <w:r>
              <w:rPr>
                <w:rFonts w:hint="eastAsia" w:ascii="仿宋_GB2312" w:hAnsi="Calibri" w:eastAsia="仿宋_GB2312" w:cs="Times New Roman"/>
                <w:sz w:val="32"/>
                <w:szCs w:val="32"/>
                <w:lang w:val="en-US" w:eastAsia="zh-CN"/>
              </w:rPr>
              <w:t>金牌</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lang w:val="en-US" w:eastAsia="zh-CN"/>
              </w:rPr>
              <w:t>2分</w:t>
            </w:r>
            <w:r>
              <w:rPr>
                <w:rFonts w:hint="eastAsia" w:ascii="仿宋_GB2312" w:hAnsi="Calibri" w:eastAsia="仿宋_GB2312" w:cs="Times New Roman"/>
                <w:sz w:val="32"/>
                <w:szCs w:val="32"/>
                <w:lang w:eastAsia="zh-CN"/>
              </w:rPr>
              <w:t>）；</w:t>
            </w:r>
          </w:p>
          <w:p w14:paraId="51B68088">
            <w:pPr>
              <w:jc w:val="both"/>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rPr>
              <w:t>省（部）级建筑业新技术应用示范工程</w:t>
            </w:r>
            <w:r>
              <w:rPr>
                <w:rFonts w:hint="eastAsia" w:ascii="仿宋_GB2312" w:hAnsi="Calibri" w:eastAsia="仿宋_GB2312" w:cs="Times New Roman"/>
                <w:sz w:val="32"/>
                <w:szCs w:val="32"/>
                <w:lang w:val="en-US" w:eastAsia="zh-CN"/>
              </w:rPr>
              <w:t>银牌</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lang w:val="en-US" w:eastAsia="zh-CN"/>
              </w:rPr>
              <w:t>1分</w:t>
            </w:r>
            <w:r>
              <w:rPr>
                <w:rFonts w:hint="eastAsia" w:ascii="仿宋_GB2312" w:hAnsi="Calibri" w:eastAsia="仿宋_GB2312" w:cs="Times New Roman"/>
                <w:sz w:val="32"/>
                <w:szCs w:val="32"/>
                <w:lang w:eastAsia="zh-CN"/>
              </w:rPr>
              <w:t>）；</w:t>
            </w:r>
          </w:p>
        </w:tc>
      </w:tr>
      <w:tr w14:paraId="307C7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trPr>
        <w:tc>
          <w:tcPr>
            <w:tcW w:w="897" w:type="dxa"/>
            <w:noWrap w:val="0"/>
            <w:vAlign w:val="center"/>
          </w:tcPr>
          <w:p w14:paraId="6A3BF413">
            <w:pPr>
              <w:jc w:val="center"/>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6</w:t>
            </w:r>
          </w:p>
        </w:tc>
        <w:tc>
          <w:tcPr>
            <w:tcW w:w="2519" w:type="dxa"/>
            <w:noWrap w:val="0"/>
            <w:vAlign w:val="center"/>
          </w:tcPr>
          <w:p w14:paraId="3D69F9C9">
            <w:pPr>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rPr>
              <w:t>QC成果奖</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lang w:val="en-US" w:eastAsia="zh-CN"/>
              </w:rPr>
              <w:t>2分</w:t>
            </w:r>
            <w:r>
              <w:rPr>
                <w:rFonts w:hint="eastAsia" w:ascii="仿宋_GB2312" w:hAnsi="Calibri" w:eastAsia="仿宋_GB2312" w:cs="Times New Roman"/>
                <w:sz w:val="32"/>
                <w:szCs w:val="32"/>
                <w:lang w:eastAsia="zh-CN"/>
              </w:rPr>
              <w:t>）</w:t>
            </w:r>
          </w:p>
        </w:tc>
        <w:tc>
          <w:tcPr>
            <w:tcW w:w="6203" w:type="dxa"/>
            <w:noWrap w:val="0"/>
            <w:vAlign w:val="center"/>
          </w:tcPr>
          <w:p w14:paraId="448922B7">
            <w:pPr>
              <w:jc w:val="both"/>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val="en-US" w:eastAsia="zh-CN"/>
              </w:rPr>
              <w:t>国家级</w:t>
            </w:r>
            <w:r>
              <w:rPr>
                <w:rFonts w:hint="eastAsia" w:ascii="仿宋_GB2312" w:hAnsi="Calibri" w:eastAsia="仿宋_GB2312" w:cs="Times New Roman"/>
                <w:sz w:val="32"/>
                <w:szCs w:val="32"/>
              </w:rPr>
              <w:t>QC</w:t>
            </w:r>
            <w:r>
              <w:rPr>
                <w:rFonts w:hint="eastAsia" w:ascii="仿宋_GB2312" w:hAnsi="Calibri" w:eastAsia="仿宋_GB2312" w:cs="Times New Roman"/>
                <w:sz w:val="32"/>
                <w:szCs w:val="32"/>
                <w:lang w:val="en-US" w:eastAsia="zh-CN"/>
              </w:rPr>
              <w:t>竞赛成果（2分）</w:t>
            </w:r>
            <w:r>
              <w:rPr>
                <w:rFonts w:hint="eastAsia" w:ascii="仿宋_GB2312" w:hAnsi="Calibri" w:eastAsia="仿宋_GB2312" w:cs="Times New Roman"/>
                <w:sz w:val="32"/>
                <w:szCs w:val="32"/>
                <w:lang w:eastAsia="zh-CN"/>
              </w:rPr>
              <w:t>；</w:t>
            </w:r>
          </w:p>
          <w:p w14:paraId="61EBEADC">
            <w:pPr>
              <w:jc w:val="both"/>
              <w:rPr>
                <w:rFonts w:hint="eastAsia" w:ascii="仿宋_GB2312" w:hAnsi="Calibri" w:eastAsia="仿宋_GB2312" w:cs="Times New Roman"/>
                <w:sz w:val="32"/>
                <w:szCs w:val="32"/>
                <w:lang w:eastAsia="zh-CN"/>
              </w:rPr>
            </w:pPr>
            <w:r>
              <w:rPr>
                <w:rFonts w:hint="eastAsia" w:ascii="仿宋_GB2312" w:hAnsi="Calibri" w:eastAsia="仿宋_GB2312" w:cs="Times New Roman"/>
                <w:sz w:val="32"/>
                <w:szCs w:val="32"/>
                <w:lang w:val="en-US" w:eastAsia="zh-CN"/>
              </w:rPr>
              <w:t>省级</w:t>
            </w:r>
            <w:r>
              <w:rPr>
                <w:rFonts w:hint="eastAsia" w:ascii="仿宋_GB2312" w:hAnsi="Calibri" w:eastAsia="仿宋_GB2312" w:cs="Times New Roman"/>
                <w:sz w:val="32"/>
                <w:szCs w:val="32"/>
              </w:rPr>
              <w:t>QC</w:t>
            </w:r>
            <w:r>
              <w:rPr>
                <w:rFonts w:hint="eastAsia" w:ascii="仿宋_GB2312" w:hAnsi="Calibri" w:eastAsia="仿宋_GB2312" w:cs="Times New Roman"/>
                <w:sz w:val="32"/>
                <w:szCs w:val="32"/>
                <w:lang w:val="en-US" w:eastAsia="zh-CN"/>
              </w:rPr>
              <w:t>竞赛成果</w:t>
            </w:r>
            <w:r>
              <w:rPr>
                <w:rFonts w:hint="eastAsia" w:ascii="仿宋_GB2312" w:hAnsi="Calibri" w:eastAsia="仿宋_GB2312" w:cs="Times New Roman"/>
                <w:sz w:val="32"/>
                <w:szCs w:val="32"/>
                <w:lang w:eastAsia="zh-CN"/>
              </w:rPr>
              <w:t>（</w:t>
            </w:r>
            <w:r>
              <w:rPr>
                <w:rFonts w:hint="eastAsia" w:ascii="仿宋_GB2312" w:hAnsi="Calibri" w:eastAsia="仿宋_GB2312" w:cs="Times New Roman"/>
                <w:sz w:val="32"/>
                <w:szCs w:val="32"/>
                <w:lang w:val="en-US" w:eastAsia="zh-CN"/>
              </w:rPr>
              <w:t>1分</w:t>
            </w:r>
            <w:r>
              <w:rPr>
                <w:rFonts w:hint="eastAsia" w:ascii="仿宋_GB2312" w:hAnsi="Calibri" w:eastAsia="仿宋_GB2312" w:cs="Times New Roman"/>
                <w:sz w:val="32"/>
                <w:szCs w:val="32"/>
                <w:lang w:eastAsia="zh-CN"/>
              </w:rPr>
              <w:t>）；</w:t>
            </w:r>
          </w:p>
        </w:tc>
      </w:tr>
      <w:tr w14:paraId="57008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trPr>
        <w:tc>
          <w:tcPr>
            <w:tcW w:w="897" w:type="dxa"/>
            <w:noWrap w:val="0"/>
            <w:vAlign w:val="center"/>
          </w:tcPr>
          <w:p w14:paraId="53EAEFF9">
            <w:pPr>
              <w:jc w:val="center"/>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7</w:t>
            </w:r>
          </w:p>
        </w:tc>
        <w:tc>
          <w:tcPr>
            <w:tcW w:w="2519" w:type="dxa"/>
            <w:noWrap w:val="0"/>
            <w:vAlign w:val="center"/>
          </w:tcPr>
          <w:p w14:paraId="6997FE45">
            <w:pPr>
              <w:rPr>
                <w:rFonts w:hint="default"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BIM应用（2分）</w:t>
            </w:r>
          </w:p>
        </w:tc>
        <w:tc>
          <w:tcPr>
            <w:tcW w:w="6203" w:type="dxa"/>
            <w:noWrap w:val="0"/>
            <w:vAlign w:val="center"/>
          </w:tcPr>
          <w:p w14:paraId="2965001D">
            <w:pPr>
              <w:jc w:val="both"/>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国家级BIM应用竞赛成果（2分）；</w:t>
            </w:r>
          </w:p>
          <w:p w14:paraId="15CA0578">
            <w:pPr>
              <w:jc w:val="both"/>
              <w:rPr>
                <w:rFonts w:hint="default"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省级BIM应用竞赛成果（1分）；</w:t>
            </w:r>
          </w:p>
        </w:tc>
      </w:tr>
      <w:tr w14:paraId="24EE1D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1" w:hRule="atLeast"/>
        </w:trPr>
        <w:tc>
          <w:tcPr>
            <w:tcW w:w="897" w:type="dxa"/>
            <w:noWrap w:val="0"/>
            <w:vAlign w:val="center"/>
          </w:tcPr>
          <w:p w14:paraId="7318688A">
            <w:pPr>
              <w:jc w:val="center"/>
              <w:rPr>
                <w:rFonts w:hint="default"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8</w:t>
            </w:r>
          </w:p>
        </w:tc>
        <w:tc>
          <w:tcPr>
            <w:tcW w:w="2519" w:type="dxa"/>
            <w:noWrap w:val="0"/>
            <w:vAlign w:val="center"/>
          </w:tcPr>
          <w:p w14:paraId="17BDD4B7">
            <w:pPr>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智慧工地（2分）</w:t>
            </w:r>
          </w:p>
        </w:tc>
        <w:tc>
          <w:tcPr>
            <w:tcW w:w="6203" w:type="dxa"/>
            <w:noWrap w:val="0"/>
            <w:vAlign w:val="center"/>
          </w:tcPr>
          <w:p w14:paraId="4D329A5C">
            <w:pPr>
              <w:jc w:val="both"/>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国家级智慧工地竞赛成果（2分）；</w:t>
            </w:r>
          </w:p>
          <w:p w14:paraId="5B48B430">
            <w:pPr>
              <w:jc w:val="both"/>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省级智慧工地竞竞赛成果（1分）；</w:t>
            </w:r>
          </w:p>
        </w:tc>
      </w:tr>
      <w:tr w14:paraId="5C6193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7" w:type="dxa"/>
            <w:noWrap w:val="0"/>
            <w:vAlign w:val="center"/>
          </w:tcPr>
          <w:p w14:paraId="0A248F1B">
            <w:pPr>
              <w:rPr>
                <w:rFonts w:hint="eastAsia" w:ascii="仿宋_GB2312" w:hAnsi="Calibri" w:eastAsia="仿宋_GB2312" w:cs="Times New Roman"/>
                <w:sz w:val="32"/>
                <w:szCs w:val="32"/>
              </w:rPr>
            </w:pPr>
            <w:r>
              <w:rPr>
                <w:rFonts w:hint="eastAsia" w:ascii="仿宋_GB2312" w:hAnsi="Calibri" w:eastAsia="仿宋_GB2312" w:cs="Times New Roman"/>
                <w:sz w:val="32"/>
                <w:szCs w:val="32"/>
              </w:rPr>
              <w:t>合计</w:t>
            </w:r>
          </w:p>
        </w:tc>
        <w:tc>
          <w:tcPr>
            <w:tcW w:w="8722" w:type="dxa"/>
            <w:gridSpan w:val="2"/>
            <w:noWrap w:val="0"/>
            <w:vAlign w:val="top"/>
          </w:tcPr>
          <w:p w14:paraId="456C38BF">
            <w:pPr>
              <w:ind w:firstLine="537" w:firstLineChars="168"/>
              <w:jc w:val="center"/>
              <w:rPr>
                <w:rFonts w:hint="default"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20</w:t>
            </w:r>
          </w:p>
        </w:tc>
      </w:tr>
    </w:tbl>
    <w:p w14:paraId="34847110">
      <w:pPr>
        <w:rPr>
          <w:rFonts w:hint="eastAsia" w:ascii="黑体" w:hAnsi="黑体" w:eastAsia="黑体" w:cs="黑体"/>
          <w:color w:val="auto"/>
          <w:sz w:val="24"/>
          <w:szCs w:val="24"/>
        </w:rPr>
      </w:pPr>
      <w:r>
        <w:rPr>
          <w:rFonts w:hint="eastAsia" w:ascii="黑体" w:hAnsi="黑体" w:eastAsia="黑体" w:cs="黑体"/>
          <w:color w:val="auto"/>
          <w:sz w:val="24"/>
          <w:szCs w:val="24"/>
        </w:rPr>
        <w:t>注：每个加分项取最高级，并只取一项加分，不累加</w:t>
      </w:r>
      <w:r>
        <w:rPr>
          <w:rFonts w:hint="eastAsia" w:ascii="黑体" w:hAnsi="黑体" w:eastAsia="黑体" w:cs="黑体"/>
          <w:color w:val="auto"/>
          <w:sz w:val="24"/>
          <w:szCs w:val="24"/>
          <w:lang w:eastAsia="zh-CN"/>
        </w:rPr>
        <w:t>，</w:t>
      </w:r>
      <w:r>
        <w:rPr>
          <w:rFonts w:hint="eastAsia" w:ascii="黑体" w:hAnsi="黑体" w:eastAsia="黑体" w:cs="黑体"/>
          <w:color w:val="auto"/>
          <w:sz w:val="24"/>
          <w:szCs w:val="24"/>
          <w:lang w:val="en-US" w:eastAsia="zh-CN"/>
        </w:rPr>
        <w:t>满分20分，折算为10分，计算公式为：（所得分/20）×10。</w:t>
      </w:r>
    </w:p>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4F8A34A-2D50-470A-959D-572C1C4AEF3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664BBF89-26FB-4B4B-8C90-8414D7DAD880}"/>
  </w:font>
  <w:font w:name="仿宋">
    <w:panose1 w:val="02010609060101010101"/>
    <w:charset w:val="86"/>
    <w:family w:val="auto"/>
    <w:pitch w:val="default"/>
    <w:sig w:usb0="800002BF" w:usb1="38CF7CFA" w:usb2="00000016" w:usb3="00000000" w:csb0="00040001" w:csb1="00000000"/>
    <w:embedRegular r:id="rId3" w:fontKey="{4A2CBFC5-BAD2-41D6-BC19-9576721E5EBA}"/>
  </w:font>
  <w:font w:name="仿宋_GB2312">
    <w:panose1 w:val="02010609030101010101"/>
    <w:charset w:val="86"/>
    <w:family w:val="modern"/>
    <w:pitch w:val="default"/>
    <w:sig w:usb0="00000001" w:usb1="080E0000" w:usb2="00000000" w:usb3="00000000" w:csb0="00040000" w:csb1="00000000"/>
    <w:embedRegular r:id="rId4" w:fontKey="{9D619CD2-E9B6-439A-B216-9894AD4B6C41}"/>
  </w:font>
  <w:font w:name="Lucida Console">
    <w:panose1 w:val="020B0609040504020204"/>
    <w:charset w:val="00"/>
    <w:family w:val="modern"/>
    <w:pitch w:val="default"/>
    <w:sig w:usb0="8000028F" w:usb1="00001800" w:usb2="00000000" w:usb3="00000000" w:csb0="0000001F" w:csb1="D7D70000"/>
  </w:font>
  <w:font w:name="微软雅黑">
    <w:panose1 w:val="020B0503020204020204"/>
    <w:charset w:val="86"/>
    <w:family w:val="auto"/>
    <w:pitch w:val="default"/>
    <w:sig w:usb0="80000287" w:usb1="2ACF3C50" w:usb2="00000016" w:usb3="00000000" w:csb0="0004001F" w:csb1="00000000"/>
    <w:embedRegular r:id="rId5" w:fontKey="{BDBB123C-1706-48AB-95B3-145B41FD3180}"/>
  </w:font>
  <w:font w:name="方正公文小标宋">
    <w:panose1 w:val="02000500000000000000"/>
    <w:charset w:val="86"/>
    <w:family w:val="auto"/>
    <w:pitch w:val="default"/>
    <w:sig w:usb0="A00002BF" w:usb1="38CF7CFA" w:usb2="00000016" w:usb3="00000000" w:csb0="00040001" w:csb1="00000000"/>
    <w:embedRegular r:id="rId6" w:fontKey="{73D91A7A-09F7-4CFF-AE4C-62FC3EFF4F0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BE621A">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A15688A">
                          <w:pPr>
                            <w:pStyle w:val="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KFoN4BAAC+AwAADgAAAGRycy9lMm9Eb2MueG1srVNLjhMxEN0jcQfL&#10;e+KejIS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cUoWg3gEAAL4DAAAOAAAAAAAA&#10;AAEAIAAAAB4BAABkcnMvZTJvRG9jLnhtbFBLBQYAAAAABgAGAFkBAABuBQAAAAA=&#10;">
              <v:fill on="f" focussize="0,0"/>
              <v:stroke on="f"/>
              <v:imagedata o:title=""/>
              <o:lock v:ext="edit" aspectratio="f"/>
              <v:textbox inset="0mm,0mm,0mm,0mm" style="mso-fit-shape-to-text:t;">
                <w:txbxContent>
                  <w:p w14:paraId="1A15688A">
                    <w:pPr>
                      <w:pStyle w:val="8"/>
                    </w:pPr>
                    <w:r>
                      <w:fldChar w:fldCharType="begin"/>
                    </w:r>
                    <w:r>
                      <w:instrText xml:space="preserve"> PAGE  \* MERGEFORMAT </w:instrText>
                    </w:r>
                    <w:r>
                      <w:fldChar w:fldCharType="separate"/>
                    </w:r>
                    <w:r>
                      <w:t>1</w:t>
                    </w:r>
                    <w:r>
                      <w:fldChar w:fldCharType="end"/>
                    </w:r>
                  </w:p>
                </w:txbxContent>
              </v:textbox>
            </v:shape>
          </w:pict>
        </mc:Fallback>
      </mc:AlternateContent>
    </w:r>
  </w:p>
  <w:p w14:paraId="54696ADD">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2A71A1"/>
    <w:multiLevelType w:val="singleLevel"/>
    <w:tmpl w:val="892A71A1"/>
    <w:lvl w:ilvl="0" w:tentative="0">
      <w:start w:val="1"/>
      <w:numFmt w:val="chineseCounting"/>
      <w:suff w:val="nothing"/>
      <w:lvlText w:val="%1、"/>
      <w:lvlJc w:val="left"/>
      <w:rPr>
        <w:rFonts w:hint="eastAsia"/>
      </w:rPr>
    </w:lvl>
  </w:abstractNum>
  <w:abstractNum w:abstractNumId="1">
    <w:nsid w:val="BC24A4B1"/>
    <w:multiLevelType w:val="singleLevel"/>
    <w:tmpl w:val="BC24A4B1"/>
    <w:lvl w:ilvl="0" w:tentative="0">
      <w:start w:val="1"/>
      <w:numFmt w:val="chineseCounting"/>
      <w:suff w:val="nothing"/>
      <w:lvlText w:val="%1、"/>
      <w:lvlJc w:val="left"/>
      <w:rPr>
        <w:rFonts w:hint="eastAsia"/>
      </w:rPr>
    </w:lvl>
  </w:abstractNum>
  <w:abstractNum w:abstractNumId="2">
    <w:nsid w:val="2A1890B3"/>
    <w:multiLevelType w:val="singleLevel"/>
    <w:tmpl w:val="2A1890B3"/>
    <w:lvl w:ilvl="0" w:tentative="0">
      <w:start w:val="2"/>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zZWMzMGNlZjRmYTI5ZWZjYTc0NTQxMzE1MGRjOGEifQ=="/>
  </w:docVars>
  <w:rsids>
    <w:rsidRoot w:val="00C061F1"/>
    <w:rsid w:val="00017447"/>
    <w:rsid w:val="00026856"/>
    <w:rsid w:val="000333DA"/>
    <w:rsid w:val="000339F8"/>
    <w:rsid w:val="00061FA5"/>
    <w:rsid w:val="00084936"/>
    <w:rsid w:val="000A4E8D"/>
    <w:rsid w:val="000B58DD"/>
    <w:rsid w:val="000B661B"/>
    <w:rsid w:val="000C1780"/>
    <w:rsid w:val="0012073F"/>
    <w:rsid w:val="00144796"/>
    <w:rsid w:val="0015574A"/>
    <w:rsid w:val="001650FA"/>
    <w:rsid w:val="001B2B04"/>
    <w:rsid w:val="001C3D45"/>
    <w:rsid w:val="001D7010"/>
    <w:rsid w:val="002135A7"/>
    <w:rsid w:val="002527D5"/>
    <w:rsid w:val="00257027"/>
    <w:rsid w:val="002662EF"/>
    <w:rsid w:val="002D53D6"/>
    <w:rsid w:val="002E2A74"/>
    <w:rsid w:val="002E4D89"/>
    <w:rsid w:val="003E40CC"/>
    <w:rsid w:val="00400A0E"/>
    <w:rsid w:val="00401A32"/>
    <w:rsid w:val="00433E1C"/>
    <w:rsid w:val="004430BB"/>
    <w:rsid w:val="00450C2C"/>
    <w:rsid w:val="00486B44"/>
    <w:rsid w:val="004A48F1"/>
    <w:rsid w:val="004B2E05"/>
    <w:rsid w:val="004D6562"/>
    <w:rsid w:val="005114EB"/>
    <w:rsid w:val="0059615C"/>
    <w:rsid w:val="005B2A3B"/>
    <w:rsid w:val="005B3ADF"/>
    <w:rsid w:val="005B4131"/>
    <w:rsid w:val="005C0C80"/>
    <w:rsid w:val="005C1761"/>
    <w:rsid w:val="005E130D"/>
    <w:rsid w:val="005F3FE0"/>
    <w:rsid w:val="006040E0"/>
    <w:rsid w:val="00610C48"/>
    <w:rsid w:val="00665A0E"/>
    <w:rsid w:val="006830E1"/>
    <w:rsid w:val="00686470"/>
    <w:rsid w:val="006B0880"/>
    <w:rsid w:val="006D17CD"/>
    <w:rsid w:val="006E2EE5"/>
    <w:rsid w:val="006F4C84"/>
    <w:rsid w:val="00721EEE"/>
    <w:rsid w:val="007627D7"/>
    <w:rsid w:val="00793BFC"/>
    <w:rsid w:val="007A0200"/>
    <w:rsid w:val="007C0068"/>
    <w:rsid w:val="007E7404"/>
    <w:rsid w:val="00803011"/>
    <w:rsid w:val="00840945"/>
    <w:rsid w:val="008932E1"/>
    <w:rsid w:val="008C4BF3"/>
    <w:rsid w:val="008D27C3"/>
    <w:rsid w:val="008D3F56"/>
    <w:rsid w:val="008F0897"/>
    <w:rsid w:val="009211B0"/>
    <w:rsid w:val="00983034"/>
    <w:rsid w:val="009908B8"/>
    <w:rsid w:val="00995E86"/>
    <w:rsid w:val="009A1508"/>
    <w:rsid w:val="009A3F88"/>
    <w:rsid w:val="009C190E"/>
    <w:rsid w:val="009E74EC"/>
    <w:rsid w:val="009F603F"/>
    <w:rsid w:val="00A02C24"/>
    <w:rsid w:val="00A20020"/>
    <w:rsid w:val="00A317A5"/>
    <w:rsid w:val="00A53FAE"/>
    <w:rsid w:val="00A5487E"/>
    <w:rsid w:val="00A75ABE"/>
    <w:rsid w:val="00A8498A"/>
    <w:rsid w:val="00AA527C"/>
    <w:rsid w:val="00B02F05"/>
    <w:rsid w:val="00B03B1D"/>
    <w:rsid w:val="00B072CF"/>
    <w:rsid w:val="00B148B4"/>
    <w:rsid w:val="00B17CDA"/>
    <w:rsid w:val="00B63BAC"/>
    <w:rsid w:val="00B65A31"/>
    <w:rsid w:val="00B91F1B"/>
    <w:rsid w:val="00BB74D1"/>
    <w:rsid w:val="00BD7FF4"/>
    <w:rsid w:val="00BF552F"/>
    <w:rsid w:val="00C01F4B"/>
    <w:rsid w:val="00C04BFE"/>
    <w:rsid w:val="00C061F1"/>
    <w:rsid w:val="00C10977"/>
    <w:rsid w:val="00C363FB"/>
    <w:rsid w:val="00C460F4"/>
    <w:rsid w:val="00C46833"/>
    <w:rsid w:val="00C5064C"/>
    <w:rsid w:val="00C63159"/>
    <w:rsid w:val="00C733DD"/>
    <w:rsid w:val="00C848A8"/>
    <w:rsid w:val="00CB1FB1"/>
    <w:rsid w:val="00CE6C09"/>
    <w:rsid w:val="00D002FF"/>
    <w:rsid w:val="00D019AA"/>
    <w:rsid w:val="00D178C1"/>
    <w:rsid w:val="00D211F0"/>
    <w:rsid w:val="00D447C7"/>
    <w:rsid w:val="00D46DA3"/>
    <w:rsid w:val="00D53FEB"/>
    <w:rsid w:val="00D546AB"/>
    <w:rsid w:val="00D72302"/>
    <w:rsid w:val="00DB3697"/>
    <w:rsid w:val="00DB4AB2"/>
    <w:rsid w:val="00DD679E"/>
    <w:rsid w:val="00DE388F"/>
    <w:rsid w:val="00E53E48"/>
    <w:rsid w:val="00EA35CB"/>
    <w:rsid w:val="00ED2219"/>
    <w:rsid w:val="00EE2479"/>
    <w:rsid w:val="00EE4276"/>
    <w:rsid w:val="00EE43BA"/>
    <w:rsid w:val="00F4763D"/>
    <w:rsid w:val="00F542BB"/>
    <w:rsid w:val="00F661D3"/>
    <w:rsid w:val="00F66B0C"/>
    <w:rsid w:val="00F66F0D"/>
    <w:rsid w:val="00F7729A"/>
    <w:rsid w:val="00F83175"/>
    <w:rsid w:val="00F93149"/>
    <w:rsid w:val="00F96343"/>
    <w:rsid w:val="00FE1F50"/>
    <w:rsid w:val="00FE44B9"/>
    <w:rsid w:val="017B3B40"/>
    <w:rsid w:val="018D0F17"/>
    <w:rsid w:val="01C3283F"/>
    <w:rsid w:val="02B33E11"/>
    <w:rsid w:val="03CE3CD3"/>
    <w:rsid w:val="03E91343"/>
    <w:rsid w:val="0449216F"/>
    <w:rsid w:val="04BD3591"/>
    <w:rsid w:val="04DC37B9"/>
    <w:rsid w:val="05F73485"/>
    <w:rsid w:val="0605161A"/>
    <w:rsid w:val="060B66D1"/>
    <w:rsid w:val="06BD0B3A"/>
    <w:rsid w:val="06EF60F3"/>
    <w:rsid w:val="07537382"/>
    <w:rsid w:val="07C42AF2"/>
    <w:rsid w:val="07D911AC"/>
    <w:rsid w:val="089711D0"/>
    <w:rsid w:val="08B7750E"/>
    <w:rsid w:val="08EC140B"/>
    <w:rsid w:val="09635191"/>
    <w:rsid w:val="09AF79DE"/>
    <w:rsid w:val="09C071E8"/>
    <w:rsid w:val="09F02912"/>
    <w:rsid w:val="0AF32081"/>
    <w:rsid w:val="0AFE455F"/>
    <w:rsid w:val="0BE80071"/>
    <w:rsid w:val="0C917C0B"/>
    <w:rsid w:val="0CF448A3"/>
    <w:rsid w:val="0D5D5C42"/>
    <w:rsid w:val="0DA11970"/>
    <w:rsid w:val="0DE6245C"/>
    <w:rsid w:val="0E9B2EC6"/>
    <w:rsid w:val="0EA53353"/>
    <w:rsid w:val="0EBC6C37"/>
    <w:rsid w:val="0ECC20AB"/>
    <w:rsid w:val="0ED739D3"/>
    <w:rsid w:val="0ED91384"/>
    <w:rsid w:val="0F864299"/>
    <w:rsid w:val="0F9C1FC2"/>
    <w:rsid w:val="0FBB4860"/>
    <w:rsid w:val="105410E5"/>
    <w:rsid w:val="10F56825"/>
    <w:rsid w:val="11173E6E"/>
    <w:rsid w:val="115C6469"/>
    <w:rsid w:val="11806905"/>
    <w:rsid w:val="11944B11"/>
    <w:rsid w:val="12157CAF"/>
    <w:rsid w:val="121C4666"/>
    <w:rsid w:val="127A5E93"/>
    <w:rsid w:val="13C52009"/>
    <w:rsid w:val="13D71814"/>
    <w:rsid w:val="1408165F"/>
    <w:rsid w:val="14611DDE"/>
    <w:rsid w:val="14D3794E"/>
    <w:rsid w:val="151D78E6"/>
    <w:rsid w:val="15666D62"/>
    <w:rsid w:val="17860C9F"/>
    <w:rsid w:val="17C00F62"/>
    <w:rsid w:val="189F13D3"/>
    <w:rsid w:val="192939F0"/>
    <w:rsid w:val="19F06649"/>
    <w:rsid w:val="1A3D3C20"/>
    <w:rsid w:val="1A910C1B"/>
    <w:rsid w:val="1A992ED4"/>
    <w:rsid w:val="1B752162"/>
    <w:rsid w:val="1C5B3C94"/>
    <w:rsid w:val="1CB91124"/>
    <w:rsid w:val="1DA1112E"/>
    <w:rsid w:val="1ED37BDD"/>
    <w:rsid w:val="1F2150A4"/>
    <w:rsid w:val="20286D6F"/>
    <w:rsid w:val="20D27BC0"/>
    <w:rsid w:val="21C127EB"/>
    <w:rsid w:val="220A13F4"/>
    <w:rsid w:val="225418B2"/>
    <w:rsid w:val="22870CC7"/>
    <w:rsid w:val="23040C70"/>
    <w:rsid w:val="236477F8"/>
    <w:rsid w:val="23965A16"/>
    <w:rsid w:val="23AD6325"/>
    <w:rsid w:val="23BA1742"/>
    <w:rsid w:val="24CF6B50"/>
    <w:rsid w:val="24DC6B43"/>
    <w:rsid w:val="24E61CF4"/>
    <w:rsid w:val="251F34E7"/>
    <w:rsid w:val="26802E82"/>
    <w:rsid w:val="268C25CE"/>
    <w:rsid w:val="26AA6529"/>
    <w:rsid w:val="27772531"/>
    <w:rsid w:val="279A2CC4"/>
    <w:rsid w:val="28541AF9"/>
    <w:rsid w:val="286C3493"/>
    <w:rsid w:val="28D0421C"/>
    <w:rsid w:val="2AEF6B19"/>
    <w:rsid w:val="2B04110F"/>
    <w:rsid w:val="2B066CBB"/>
    <w:rsid w:val="2C0555D7"/>
    <w:rsid w:val="2CB61C1E"/>
    <w:rsid w:val="2D3423C7"/>
    <w:rsid w:val="2DC1304D"/>
    <w:rsid w:val="2DE2522C"/>
    <w:rsid w:val="2E310DDB"/>
    <w:rsid w:val="2E5919D6"/>
    <w:rsid w:val="2FC644F7"/>
    <w:rsid w:val="2FCC3367"/>
    <w:rsid w:val="30E71541"/>
    <w:rsid w:val="30E96C0A"/>
    <w:rsid w:val="30EA641E"/>
    <w:rsid w:val="31A76A08"/>
    <w:rsid w:val="32674CE9"/>
    <w:rsid w:val="32866B73"/>
    <w:rsid w:val="333B28B5"/>
    <w:rsid w:val="33A60966"/>
    <w:rsid w:val="33F63946"/>
    <w:rsid w:val="3493079D"/>
    <w:rsid w:val="34A7379E"/>
    <w:rsid w:val="35123632"/>
    <w:rsid w:val="36191518"/>
    <w:rsid w:val="36B41903"/>
    <w:rsid w:val="37907CB6"/>
    <w:rsid w:val="37BD039C"/>
    <w:rsid w:val="383B459C"/>
    <w:rsid w:val="384742FE"/>
    <w:rsid w:val="38A260D4"/>
    <w:rsid w:val="38C452B5"/>
    <w:rsid w:val="3A4637B1"/>
    <w:rsid w:val="3A79672C"/>
    <w:rsid w:val="3AF141DF"/>
    <w:rsid w:val="3B700025"/>
    <w:rsid w:val="3B9E16E4"/>
    <w:rsid w:val="3BAF5859"/>
    <w:rsid w:val="3C902A95"/>
    <w:rsid w:val="3C952254"/>
    <w:rsid w:val="3CD02A4F"/>
    <w:rsid w:val="3D080C3E"/>
    <w:rsid w:val="3D0B0F4A"/>
    <w:rsid w:val="3DF7149B"/>
    <w:rsid w:val="3E2958BB"/>
    <w:rsid w:val="3E6F00E3"/>
    <w:rsid w:val="3F36504D"/>
    <w:rsid w:val="3F655964"/>
    <w:rsid w:val="3F756A43"/>
    <w:rsid w:val="402E7AAF"/>
    <w:rsid w:val="40850423"/>
    <w:rsid w:val="41635D81"/>
    <w:rsid w:val="41802453"/>
    <w:rsid w:val="41976DF4"/>
    <w:rsid w:val="41C706B0"/>
    <w:rsid w:val="41ED2CB7"/>
    <w:rsid w:val="4208702C"/>
    <w:rsid w:val="42C26353"/>
    <w:rsid w:val="42E20250"/>
    <w:rsid w:val="43543475"/>
    <w:rsid w:val="449846E7"/>
    <w:rsid w:val="454E5E3F"/>
    <w:rsid w:val="45923704"/>
    <w:rsid w:val="45A656D1"/>
    <w:rsid w:val="45D62E34"/>
    <w:rsid w:val="465B64BB"/>
    <w:rsid w:val="46D97270"/>
    <w:rsid w:val="47A111BE"/>
    <w:rsid w:val="48822796"/>
    <w:rsid w:val="488F13D9"/>
    <w:rsid w:val="4896271E"/>
    <w:rsid w:val="489D6D73"/>
    <w:rsid w:val="48FC0741"/>
    <w:rsid w:val="494D6C53"/>
    <w:rsid w:val="4956165D"/>
    <w:rsid w:val="49BF279A"/>
    <w:rsid w:val="49D26B7F"/>
    <w:rsid w:val="4B8E0AAD"/>
    <w:rsid w:val="4BF41BA6"/>
    <w:rsid w:val="4C1F3BA1"/>
    <w:rsid w:val="4CAF0B5D"/>
    <w:rsid w:val="4DC82688"/>
    <w:rsid w:val="4EC96411"/>
    <w:rsid w:val="4EE54794"/>
    <w:rsid w:val="4EEF7348"/>
    <w:rsid w:val="4F842B8C"/>
    <w:rsid w:val="4F9C7B5B"/>
    <w:rsid w:val="50BE12B9"/>
    <w:rsid w:val="50CD0639"/>
    <w:rsid w:val="50F410FC"/>
    <w:rsid w:val="51363DAD"/>
    <w:rsid w:val="513C0D1F"/>
    <w:rsid w:val="51790B11"/>
    <w:rsid w:val="517C61F5"/>
    <w:rsid w:val="51AB5D99"/>
    <w:rsid w:val="51C213CA"/>
    <w:rsid w:val="52770FA4"/>
    <w:rsid w:val="5449336D"/>
    <w:rsid w:val="5487748A"/>
    <w:rsid w:val="55647311"/>
    <w:rsid w:val="557124FE"/>
    <w:rsid w:val="55E73F05"/>
    <w:rsid w:val="564243D8"/>
    <w:rsid w:val="5675408E"/>
    <w:rsid w:val="56991E9F"/>
    <w:rsid w:val="569B73A0"/>
    <w:rsid w:val="56AB42F9"/>
    <w:rsid w:val="571E08E9"/>
    <w:rsid w:val="57333D01"/>
    <w:rsid w:val="58F54015"/>
    <w:rsid w:val="5A7F6D64"/>
    <w:rsid w:val="5A802DAC"/>
    <w:rsid w:val="5BFB437D"/>
    <w:rsid w:val="5C386ED2"/>
    <w:rsid w:val="5C91458D"/>
    <w:rsid w:val="5D3A5B43"/>
    <w:rsid w:val="5D513A46"/>
    <w:rsid w:val="5DB669A1"/>
    <w:rsid w:val="5DB8228A"/>
    <w:rsid w:val="5DCF3CF8"/>
    <w:rsid w:val="5E7A77F7"/>
    <w:rsid w:val="5EBE1561"/>
    <w:rsid w:val="5F364AE5"/>
    <w:rsid w:val="5F524A92"/>
    <w:rsid w:val="5F585948"/>
    <w:rsid w:val="5FE76E08"/>
    <w:rsid w:val="610C446F"/>
    <w:rsid w:val="612C1BD7"/>
    <w:rsid w:val="61CD054C"/>
    <w:rsid w:val="62304839"/>
    <w:rsid w:val="624E2C86"/>
    <w:rsid w:val="62FB39AD"/>
    <w:rsid w:val="63553280"/>
    <w:rsid w:val="635642EA"/>
    <w:rsid w:val="639878F0"/>
    <w:rsid w:val="63CD1677"/>
    <w:rsid w:val="64120B86"/>
    <w:rsid w:val="65013FCF"/>
    <w:rsid w:val="65407F8E"/>
    <w:rsid w:val="65E857F6"/>
    <w:rsid w:val="65F06585"/>
    <w:rsid w:val="65F4001C"/>
    <w:rsid w:val="65F526D4"/>
    <w:rsid w:val="6607034B"/>
    <w:rsid w:val="67090F24"/>
    <w:rsid w:val="67E36F66"/>
    <w:rsid w:val="69F94A1C"/>
    <w:rsid w:val="6AA46810"/>
    <w:rsid w:val="6ABC3C62"/>
    <w:rsid w:val="6B2D68D3"/>
    <w:rsid w:val="6B71049B"/>
    <w:rsid w:val="6C0905E4"/>
    <w:rsid w:val="6C177765"/>
    <w:rsid w:val="6D055F4C"/>
    <w:rsid w:val="6DB04F8D"/>
    <w:rsid w:val="6DE23DBC"/>
    <w:rsid w:val="6DFD6B6F"/>
    <w:rsid w:val="6ED15E86"/>
    <w:rsid w:val="6F5226A5"/>
    <w:rsid w:val="6FEF4D34"/>
    <w:rsid w:val="703B0430"/>
    <w:rsid w:val="70E6774F"/>
    <w:rsid w:val="710153C2"/>
    <w:rsid w:val="724473EE"/>
    <w:rsid w:val="730D796C"/>
    <w:rsid w:val="737D1A1C"/>
    <w:rsid w:val="73E11809"/>
    <w:rsid w:val="73F10580"/>
    <w:rsid w:val="74D71222"/>
    <w:rsid w:val="752E3C15"/>
    <w:rsid w:val="757054C3"/>
    <w:rsid w:val="76D37824"/>
    <w:rsid w:val="77603564"/>
    <w:rsid w:val="78766669"/>
    <w:rsid w:val="78A041C0"/>
    <w:rsid w:val="78BE3BEE"/>
    <w:rsid w:val="78EA61B3"/>
    <w:rsid w:val="7900005B"/>
    <w:rsid w:val="79A36403"/>
    <w:rsid w:val="79E3641E"/>
    <w:rsid w:val="7AF8710A"/>
    <w:rsid w:val="7B3C65CF"/>
    <w:rsid w:val="7BED44F3"/>
    <w:rsid w:val="7BF23BF8"/>
    <w:rsid w:val="7C0901A3"/>
    <w:rsid w:val="7C6C597E"/>
    <w:rsid w:val="7CBA2FE1"/>
    <w:rsid w:val="7CD35A8D"/>
    <w:rsid w:val="7CD40290"/>
    <w:rsid w:val="7D2708CA"/>
    <w:rsid w:val="7DBB52F9"/>
    <w:rsid w:val="7F1816C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qFormat="1" w:uiPriority="99" w:semiHidden="0" w:name="HTML Acronym"/>
    <w:lsdException w:uiPriority="99" w:name="HTML Address"/>
    <w:lsdException w:qFormat="1" w:uiPriority="99" w:semiHidden="0" w:name="HTML Cite"/>
    <w:lsdException w:qFormat="1" w:uiPriority="99" w:semiHidden="0" w:name="HTML Code"/>
    <w:lsdException w:qFormat="1" w:uiPriority="99" w:semiHidden="0" w:name="HTML Definition"/>
    <w:lsdException w:uiPriority="99" w:name="HTML Keyboard"/>
    <w:lsdException w:uiPriority="99" w:name="HTML Preformatted"/>
    <w:lsdException w:uiPriority="99" w:name="HTML Sample"/>
    <w:lsdException w:qFormat="1" w:uiPriority="99" w:semiHidden="0" w:name="HTML Typewriter"/>
    <w:lsdException w:qFormat="1" w:uiPriority="99" w:semiHidden="0"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autoRedefine/>
    <w:qFormat/>
    <w:uiPriority w:val="9"/>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5">
    <w:name w:val="Default Paragraph Font"/>
    <w:autoRedefine/>
    <w:unhideWhenUsed/>
    <w:qFormat/>
    <w:uiPriority w:val="1"/>
  </w:style>
  <w:style w:type="table" w:default="1" w:styleId="13">
    <w:name w:val="Normal Table"/>
    <w:autoRedefine/>
    <w:unhideWhenUsed/>
    <w:qFormat/>
    <w:uiPriority w:val="99"/>
    <w:tblPr>
      <w:tblCellMar>
        <w:top w:w="0" w:type="dxa"/>
        <w:left w:w="108" w:type="dxa"/>
        <w:bottom w:w="0" w:type="dxa"/>
        <w:right w:w="108" w:type="dxa"/>
      </w:tblCellMar>
    </w:tblPr>
  </w:style>
  <w:style w:type="paragraph" w:styleId="3">
    <w:name w:val="annotation text"/>
    <w:basedOn w:val="1"/>
    <w:link w:val="27"/>
    <w:autoRedefine/>
    <w:unhideWhenUsed/>
    <w:qFormat/>
    <w:uiPriority w:val="99"/>
    <w:pPr>
      <w:jc w:val="left"/>
    </w:pPr>
  </w:style>
  <w:style w:type="paragraph" w:styleId="4">
    <w:name w:val="Body Text"/>
    <w:basedOn w:val="1"/>
    <w:autoRedefine/>
    <w:qFormat/>
    <w:uiPriority w:val="1"/>
    <w:pPr>
      <w:spacing w:before="190"/>
      <w:ind w:left="440"/>
    </w:pPr>
    <w:rPr>
      <w:rFonts w:ascii="仿宋" w:hAnsi="仿宋" w:eastAsia="仿宋" w:cs="仿宋"/>
      <w:sz w:val="32"/>
      <w:szCs w:val="32"/>
      <w:lang w:val="zh-CN" w:eastAsia="zh-CN" w:bidi="zh-CN"/>
    </w:rPr>
  </w:style>
  <w:style w:type="paragraph" w:styleId="5">
    <w:name w:val="Body Text Indent"/>
    <w:basedOn w:val="1"/>
    <w:autoRedefine/>
    <w:qFormat/>
    <w:uiPriority w:val="0"/>
    <w:pPr>
      <w:spacing w:line="480" w:lineRule="exact"/>
      <w:ind w:firstLine="645"/>
    </w:pPr>
    <w:rPr>
      <w:rFonts w:eastAsia="仿宋_GB2312"/>
      <w:color w:val="000000"/>
      <w:sz w:val="32"/>
    </w:rPr>
  </w:style>
  <w:style w:type="paragraph" w:styleId="6">
    <w:name w:val="Plain Text"/>
    <w:basedOn w:val="1"/>
    <w:autoRedefine/>
    <w:qFormat/>
    <w:uiPriority w:val="0"/>
    <w:rPr>
      <w:rFonts w:ascii="宋体" w:hAnsi="Courier New" w:cs="Courier New"/>
      <w:szCs w:val="21"/>
    </w:rPr>
  </w:style>
  <w:style w:type="paragraph" w:styleId="7">
    <w:name w:val="Balloon Text"/>
    <w:basedOn w:val="1"/>
    <w:link w:val="28"/>
    <w:autoRedefine/>
    <w:unhideWhenUsed/>
    <w:qFormat/>
    <w:uiPriority w:val="99"/>
    <w:rPr>
      <w:sz w:val="18"/>
      <w:szCs w:val="18"/>
    </w:rPr>
  </w:style>
  <w:style w:type="paragraph" w:styleId="8">
    <w:name w:val="footer"/>
    <w:basedOn w:val="1"/>
    <w:link w:val="29"/>
    <w:autoRedefine/>
    <w:unhideWhenUsed/>
    <w:qFormat/>
    <w:uiPriority w:val="99"/>
    <w:pPr>
      <w:tabs>
        <w:tab w:val="center" w:pos="4153"/>
        <w:tab w:val="right" w:pos="8306"/>
      </w:tabs>
      <w:snapToGrid w:val="0"/>
      <w:jc w:val="left"/>
    </w:pPr>
    <w:rPr>
      <w:sz w:val="18"/>
      <w:szCs w:val="18"/>
    </w:rPr>
  </w:style>
  <w:style w:type="paragraph" w:styleId="9">
    <w:name w:val="header"/>
    <w:basedOn w:val="1"/>
    <w:link w:val="3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Indent 3"/>
    <w:basedOn w:val="1"/>
    <w:autoRedefine/>
    <w:qFormat/>
    <w:uiPriority w:val="0"/>
    <w:pPr>
      <w:spacing w:after="120"/>
      <w:ind w:left="420" w:leftChars="200"/>
    </w:pPr>
    <w:rPr>
      <w:rFonts w:ascii="Times New Roman" w:hAnsi="Times New Roman" w:eastAsia="仿宋_GB2312" w:cs="Times New Roman"/>
      <w:sz w:val="16"/>
      <w:szCs w:val="20"/>
    </w:rPr>
  </w:style>
  <w:style w:type="paragraph" w:styleId="11">
    <w:name w:val="Normal (Web)"/>
    <w:basedOn w:val="1"/>
    <w:autoRedefine/>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jc w:val="left"/>
    </w:pPr>
    <w:rPr>
      <w:rFonts w:hint="eastAsia" w:ascii="宋体" w:hAnsi="宋体" w:eastAsia="宋体" w:cs="宋体"/>
      <w:kern w:val="0"/>
      <w:sz w:val="21"/>
      <w:szCs w:val="21"/>
      <w:lang w:val="en-US" w:eastAsia="zh-CN" w:bidi="ar"/>
    </w:rPr>
  </w:style>
  <w:style w:type="paragraph" w:styleId="12">
    <w:name w:val="annotation subject"/>
    <w:basedOn w:val="3"/>
    <w:next w:val="3"/>
    <w:link w:val="31"/>
    <w:autoRedefine/>
    <w:unhideWhenUsed/>
    <w:qFormat/>
    <w:uiPriority w:val="99"/>
    <w:rPr>
      <w:b/>
      <w:bCs/>
    </w:rPr>
  </w:style>
  <w:style w:type="table" w:styleId="14">
    <w:name w:val="Table Grid"/>
    <w:basedOn w:val="13"/>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6">
    <w:name w:val="Strong"/>
    <w:autoRedefine/>
    <w:qFormat/>
    <w:uiPriority w:val="22"/>
    <w:rPr>
      <w:b/>
    </w:rPr>
  </w:style>
  <w:style w:type="character" w:styleId="17">
    <w:name w:val="FollowedHyperlink"/>
    <w:autoRedefine/>
    <w:unhideWhenUsed/>
    <w:qFormat/>
    <w:uiPriority w:val="99"/>
    <w:rPr>
      <w:color w:val="800080"/>
      <w:u w:val="none"/>
    </w:rPr>
  </w:style>
  <w:style w:type="character" w:styleId="18">
    <w:name w:val="Emphasis"/>
    <w:autoRedefine/>
    <w:qFormat/>
    <w:uiPriority w:val="20"/>
  </w:style>
  <w:style w:type="character" w:styleId="19">
    <w:name w:val="HTML Definition"/>
    <w:autoRedefine/>
    <w:unhideWhenUsed/>
    <w:qFormat/>
    <w:uiPriority w:val="99"/>
  </w:style>
  <w:style w:type="character" w:styleId="20">
    <w:name w:val="HTML Typewriter"/>
    <w:autoRedefine/>
    <w:unhideWhenUsed/>
    <w:qFormat/>
    <w:uiPriority w:val="99"/>
    <w:rPr>
      <w:rFonts w:ascii="Lucida Console" w:hAnsi="Lucida Console" w:eastAsia="Lucida Console" w:cs="Lucida Console"/>
      <w:sz w:val="18"/>
      <w:szCs w:val="18"/>
    </w:rPr>
  </w:style>
  <w:style w:type="character" w:styleId="21">
    <w:name w:val="HTML Acronym"/>
    <w:autoRedefine/>
    <w:unhideWhenUsed/>
    <w:qFormat/>
    <w:uiPriority w:val="99"/>
  </w:style>
  <w:style w:type="character" w:styleId="22">
    <w:name w:val="HTML Variable"/>
    <w:autoRedefine/>
    <w:unhideWhenUsed/>
    <w:qFormat/>
    <w:uiPriority w:val="99"/>
  </w:style>
  <w:style w:type="character" w:styleId="23">
    <w:name w:val="Hyperlink"/>
    <w:autoRedefine/>
    <w:unhideWhenUsed/>
    <w:qFormat/>
    <w:uiPriority w:val="99"/>
    <w:rPr>
      <w:color w:val="0000FF"/>
      <w:u w:val="none"/>
    </w:rPr>
  </w:style>
  <w:style w:type="character" w:styleId="24">
    <w:name w:val="HTML Code"/>
    <w:autoRedefine/>
    <w:unhideWhenUsed/>
    <w:qFormat/>
    <w:uiPriority w:val="99"/>
    <w:rPr>
      <w:rFonts w:hint="default" w:ascii="Lucida Console" w:hAnsi="Lucida Console" w:eastAsia="Lucida Console" w:cs="Lucida Console"/>
      <w:sz w:val="18"/>
      <w:szCs w:val="18"/>
    </w:rPr>
  </w:style>
  <w:style w:type="character" w:styleId="25">
    <w:name w:val="annotation reference"/>
    <w:autoRedefine/>
    <w:unhideWhenUsed/>
    <w:qFormat/>
    <w:uiPriority w:val="99"/>
    <w:rPr>
      <w:sz w:val="21"/>
      <w:szCs w:val="21"/>
    </w:rPr>
  </w:style>
  <w:style w:type="character" w:styleId="26">
    <w:name w:val="HTML Cite"/>
    <w:autoRedefine/>
    <w:unhideWhenUsed/>
    <w:qFormat/>
    <w:uiPriority w:val="99"/>
  </w:style>
  <w:style w:type="character" w:customStyle="1" w:styleId="27">
    <w:name w:val="批注文字 字符"/>
    <w:link w:val="3"/>
    <w:autoRedefine/>
    <w:semiHidden/>
    <w:qFormat/>
    <w:uiPriority w:val="99"/>
    <w:rPr>
      <w:kern w:val="2"/>
      <w:sz w:val="21"/>
      <w:szCs w:val="22"/>
    </w:rPr>
  </w:style>
  <w:style w:type="character" w:customStyle="1" w:styleId="28">
    <w:name w:val="批注框文本 字符"/>
    <w:link w:val="7"/>
    <w:autoRedefine/>
    <w:semiHidden/>
    <w:qFormat/>
    <w:uiPriority w:val="99"/>
    <w:rPr>
      <w:sz w:val="18"/>
      <w:szCs w:val="18"/>
    </w:rPr>
  </w:style>
  <w:style w:type="character" w:customStyle="1" w:styleId="29">
    <w:name w:val="页脚 字符"/>
    <w:link w:val="8"/>
    <w:autoRedefine/>
    <w:qFormat/>
    <w:uiPriority w:val="99"/>
    <w:rPr>
      <w:kern w:val="2"/>
      <w:sz w:val="18"/>
      <w:szCs w:val="18"/>
    </w:rPr>
  </w:style>
  <w:style w:type="character" w:customStyle="1" w:styleId="30">
    <w:name w:val="页眉 字符"/>
    <w:link w:val="9"/>
    <w:autoRedefine/>
    <w:semiHidden/>
    <w:qFormat/>
    <w:uiPriority w:val="99"/>
    <w:rPr>
      <w:kern w:val="2"/>
      <w:sz w:val="18"/>
      <w:szCs w:val="18"/>
    </w:rPr>
  </w:style>
  <w:style w:type="character" w:customStyle="1" w:styleId="31">
    <w:name w:val="批注主题 字符"/>
    <w:link w:val="12"/>
    <w:autoRedefine/>
    <w:semiHidden/>
    <w:qFormat/>
    <w:uiPriority w:val="99"/>
    <w:rPr>
      <w:b/>
      <w:bCs/>
    </w:rPr>
  </w:style>
  <w:style w:type="character" w:customStyle="1" w:styleId="32">
    <w:name w:val="after2"/>
    <w:autoRedefine/>
    <w:qFormat/>
    <w:uiPriority w:val="0"/>
  </w:style>
  <w:style w:type="character" w:customStyle="1" w:styleId="33">
    <w:name w:val="after"/>
    <w:autoRedefine/>
    <w:qFormat/>
    <w:uiPriority w:val="0"/>
  </w:style>
  <w:style w:type="character" w:customStyle="1" w:styleId="34">
    <w:name w:val="cr"/>
    <w:autoRedefine/>
    <w:qFormat/>
    <w:uiPriority w:val="0"/>
    <w:rPr>
      <w:color w:val="FFFFFF"/>
      <w:shd w:val="clear" w:color="auto" w:fill="D22D26"/>
    </w:rPr>
  </w:style>
  <w:style w:type="paragraph" w:customStyle="1" w:styleId="35">
    <w:name w:val="Table Paragraph"/>
    <w:basedOn w:val="1"/>
    <w:autoRedefine/>
    <w:qFormat/>
    <w:uiPriority w:val="1"/>
    <w:pPr>
      <w:ind w:left="110"/>
    </w:pPr>
    <w:rPr>
      <w:rFonts w:ascii="仿宋" w:hAnsi="仿宋" w:eastAsia="仿宋" w:cs="仿宋"/>
      <w:lang w:val="zh-CN" w:eastAsia="zh-CN" w:bidi="zh-CN"/>
    </w:rPr>
  </w:style>
  <w:style w:type="paragraph" w:styleId="36">
    <w:name w:val="List Paragraph"/>
    <w:basedOn w:val="1"/>
    <w:autoRedefine/>
    <w:qFormat/>
    <w:uiPriority w:val="1"/>
    <w:pPr>
      <w:spacing w:before="190"/>
      <w:ind w:left="827" w:hanging="241"/>
    </w:pPr>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5891</Words>
  <Characters>6123</Characters>
  <Lines>41</Lines>
  <Paragraphs>11</Paragraphs>
  <TotalTime>6</TotalTime>
  <ScaleCrop>false</ScaleCrop>
  <LinksUpToDate>false</LinksUpToDate>
  <CharactersWithSpaces>6423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2019-07-17T03:14:00Z</dcterms:created>
  <dc:creator>Administrator</dc:creator>
  <cp:lastModifiedBy>春风得意</cp:lastModifiedBy>
  <cp:lastPrinted>2023-12-14T05:35:00Z</cp:lastPrinted>
  <dcterms:modified xsi:type="dcterms:W3CDTF">2024-08-22T01:46:40Z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50EE3141BFAA4CA185EE8B581B77B8F3_13</vt:lpwstr>
  </property>
</Properties>
</file>