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BAA4">
      <w:pPr>
        <w:spacing w:line="440" w:lineRule="exact"/>
        <w:rPr>
          <w:rFonts w:hint="default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附件5：</w:t>
      </w:r>
    </w:p>
    <w:p w14:paraId="06D61984">
      <w:pPr>
        <w:widowControl/>
        <w:shd w:val="clear" w:color="auto" w:fill="FFFFFF"/>
        <w:spacing w:line="378" w:lineRule="atLeast"/>
        <w:ind w:firstLine="723" w:firstLineChars="200"/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bidi="ar-SA"/>
        </w:rPr>
      </w:pPr>
      <w:r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bidi="ar-SA"/>
        </w:rPr>
        <w:t>黑龙江省建筑业</w:t>
      </w:r>
      <w:r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val="en-US" w:eastAsia="zh-CN" w:bidi="ar-SA"/>
        </w:rPr>
        <w:t>劳务资质</w:t>
      </w:r>
      <w:r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bidi="ar-SA"/>
        </w:rPr>
        <w:t>企业信用评价标准</w:t>
      </w:r>
    </w:p>
    <w:p w14:paraId="52753D13">
      <w:pPr>
        <w:widowControl/>
        <w:shd w:val="clear" w:color="auto" w:fill="FFFFFF"/>
        <w:spacing w:line="378" w:lineRule="atLeast"/>
        <w:ind w:firstLine="723" w:firstLineChars="200"/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bidi="ar-SA"/>
        </w:rPr>
      </w:pPr>
    </w:p>
    <w:tbl>
      <w:tblPr>
        <w:tblStyle w:val="4"/>
        <w:tblW w:w="99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871"/>
        <w:gridCol w:w="7944"/>
      </w:tblGrid>
      <w:tr w14:paraId="50703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116" w:type="dxa"/>
            <w:noWrap w:val="0"/>
            <w:vAlign w:val="center"/>
          </w:tcPr>
          <w:p w14:paraId="505D7080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815" w:type="dxa"/>
            <w:gridSpan w:val="2"/>
            <w:noWrap w:val="0"/>
            <w:vAlign w:val="center"/>
          </w:tcPr>
          <w:p w14:paraId="06059AC2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      价      内      容</w:t>
            </w:r>
          </w:p>
        </w:tc>
      </w:tr>
      <w:tr w14:paraId="63FF5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tblCellSpacing w:w="0" w:type="dxa"/>
          <w:jc w:val="center"/>
        </w:trPr>
        <w:tc>
          <w:tcPr>
            <w:tcW w:w="1116" w:type="dxa"/>
            <w:noWrap w:val="0"/>
            <w:vAlign w:val="center"/>
          </w:tcPr>
          <w:p w14:paraId="1ABF991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一票</w:t>
            </w:r>
          </w:p>
          <w:p w14:paraId="16D5EBC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否决</w:t>
            </w:r>
          </w:p>
          <w:p w14:paraId="504ECD1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15" w:type="dxa"/>
            <w:gridSpan w:val="2"/>
            <w:noWrap w:val="0"/>
            <w:vAlign w:val="center"/>
          </w:tcPr>
          <w:p w14:paraId="3CEB9766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利用虚假材料、以欺骗手段取得企业资质的；</w:t>
            </w:r>
          </w:p>
          <w:p w14:paraId="4A31EBE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经法院判决或仲裁机构裁决，认定为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instrText xml:space="preserve"> HYPERLINK "https://baike.sogou.com/v5922668.htm" \t "_blank" </w:instrTex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拖欠农民工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工资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,且拒不履行生效法律文书确定的义务的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6595D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67AB25B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企业</w:t>
            </w:r>
          </w:p>
          <w:p w14:paraId="5DB9F7A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基本</w:t>
            </w:r>
          </w:p>
          <w:p w14:paraId="1AA72BF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素质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64A8681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28C3E4A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营业执照</w:t>
            </w:r>
          </w:p>
        </w:tc>
      </w:tr>
      <w:tr w14:paraId="2304F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3915557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10332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15C72A11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资质证书</w:t>
            </w:r>
          </w:p>
        </w:tc>
      </w:tr>
      <w:tr w14:paraId="48682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3B2AC1C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682012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67F80F78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管理、技术人员专业结构配置</w:t>
            </w:r>
          </w:p>
        </w:tc>
      </w:tr>
      <w:tr w14:paraId="2AD7FD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193F49D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经营</w:t>
            </w:r>
          </w:p>
          <w:p w14:paraId="27ADAD2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3869846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480893E2">
            <w:pPr>
              <w:jc w:val="left"/>
              <w:rPr>
                <w:rFonts w:hint="eastAsia" w:ascii="黑体" w:hAnsi="黑体" w:eastAsia="仿宋_GB2312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注册资金1000万元（含）以上10分，500万（含）至1000万元6分，100万（含）至500万4分，100万（含）以下2分。</w:t>
            </w:r>
          </w:p>
        </w:tc>
      </w:tr>
      <w:tr w14:paraId="5B0A8A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7A27B4E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765AAB5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13930D9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近三年承揽工程合同额 500万（含）以上20分，100万（含）至500万以上10分，100万（含）以下5分。</w:t>
            </w:r>
          </w:p>
        </w:tc>
      </w:tr>
      <w:tr w14:paraId="62BDA7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6C1545D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履约</w:t>
            </w:r>
          </w:p>
          <w:p w14:paraId="0344607B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能力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39E4C7FA">
            <w:pPr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7E1469C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施工总承包企业对劳务资质企业评价：评价优秀10分，良好6分，合格4分。</w:t>
            </w:r>
          </w:p>
        </w:tc>
      </w:tr>
      <w:tr w14:paraId="0A9FBF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2853ADA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8CFF4E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2F083E0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劳务工资及时足额发放。</w:t>
            </w:r>
          </w:p>
        </w:tc>
      </w:tr>
    </w:tbl>
    <w:p w14:paraId="408DA4B5">
      <w:pPr>
        <w:rPr>
          <w:rFonts w:hint="eastAsia" w:ascii="黑体" w:hAnsi="黑体" w:eastAsia="黑体" w:cs="黑体"/>
          <w:color w:val="000000"/>
          <w:kern w:val="0"/>
          <w:sz w:val="18"/>
          <w:szCs w:val="18"/>
        </w:rPr>
      </w:pPr>
      <w:r>
        <w:rPr>
          <w:rFonts w:ascii="黑体" w:hAnsi="黑体" w:eastAsia="黑体" w:cs="黑体"/>
          <w:b/>
          <w:bCs/>
          <w:color w:val="000000"/>
          <w:kern w:val="0"/>
          <w:sz w:val="18"/>
          <w:szCs w:val="18"/>
        </w:rPr>
        <w:t>注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18"/>
          <w:szCs w:val="18"/>
        </w:rPr>
        <w:t>：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每项取最高值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，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不累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计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/>
        </w:rPr>
        <w:t>加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分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。</w:t>
      </w:r>
    </w:p>
    <w:p w14:paraId="02D7D809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BF6C1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9C3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1E8EF29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1E5A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B42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B42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4FAF2272"/>
    <w:rsid w:val="02807A5E"/>
    <w:rsid w:val="053D1A99"/>
    <w:rsid w:val="14F60610"/>
    <w:rsid w:val="265E7C4E"/>
    <w:rsid w:val="267A224B"/>
    <w:rsid w:val="3FDB54E4"/>
    <w:rsid w:val="4B472EF9"/>
    <w:rsid w:val="4BFC429C"/>
    <w:rsid w:val="4E4D2FAC"/>
    <w:rsid w:val="4FAF2272"/>
    <w:rsid w:val="53DC4D4D"/>
    <w:rsid w:val="58194A88"/>
    <w:rsid w:val="59083EC3"/>
    <w:rsid w:val="5BBC18BC"/>
    <w:rsid w:val="5BF87B92"/>
    <w:rsid w:val="5D607003"/>
    <w:rsid w:val="66C83378"/>
    <w:rsid w:val="747F5062"/>
    <w:rsid w:val="782D776B"/>
    <w:rsid w:val="7C4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318</Characters>
  <Lines>0</Lines>
  <Paragraphs>0</Paragraphs>
  <TotalTime>10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2022-05-24T00:38:00Z</dcterms:created>
  <dc:creator>陌然浅笑</dc:creator>
  <cp:lastModifiedBy>陌然浅笑</cp:lastModifiedBy>
  <cp:lastPrinted>2022-05-24T01:12:00Z</cp:lastPrinted>
  <dcterms:modified xsi:type="dcterms:W3CDTF">2026-04-28T01:05:21Z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F6B0D46CE9524331BF489A3BCCF032C2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